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pStyle w:val="2"/>
        <w:spacing w:before="0" w:after="0" w:line="560" w:lineRule="exact"/>
        <w:jc w:val="center"/>
        <w:rPr>
          <w:rFonts w:hint="eastAsia" w:ascii="方正小标宋简体" w:hAnsi="宋体" w:eastAsia="方正小标宋简体" w:cs="宋体"/>
          <w:b w:val="0"/>
          <w:szCs w:val="44"/>
        </w:rPr>
      </w:pPr>
      <w:r>
        <w:rPr>
          <w:rFonts w:hint="eastAsia" w:ascii="方正小标宋简体" w:hAnsi="宋体" w:eastAsia="方正小标宋简体" w:cs="宋体"/>
          <w:b w:val="0"/>
          <w:szCs w:val="44"/>
        </w:rPr>
        <w:t>坪山办事处《生活垃圾分类减量和资源化利用方案》设计大赛设计方案评选规则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大赛设计方案评选分为初评和终评两个阶段，初评从收到的所有参赛设计方案中评选出8个入围设计方案；终评从初评入围的8个设计方案中评选出一、二、三等奖和入围奖。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评选成立专家库，专家库由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10名相关领域的专家组成。</w:t>
      </w:r>
    </w:p>
    <w:p>
      <w:pPr>
        <w:pStyle w:val="3"/>
        <w:numPr>
          <w:ilvl w:val="0"/>
          <w:numId w:val="1"/>
        </w:numPr>
        <w:spacing w:before="0" w:after="0" w:line="560" w:lineRule="exact"/>
        <w:rPr>
          <w:rFonts w:ascii="黑体" w:hAnsi="黑体" w:eastAsia="黑体" w:cs="宋体"/>
          <w:b w:val="0"/>
          <w:szCs w:val="32"/>
        </w:rPr>
      </w:pPr>
      <w:r>
        <w:rPr>
          <w:rFonts w:hint="eastAsia" w:ascii="黑体" w:hAnsi="黑体" w:eastAsia="黑体" w:cs="宋体"/>
          <w:b w:val="0"/>
          <w:szCs w:val="32"/>
        </w:rPr>
        <w:t>初评的组织与实施</w:t>
      </w:r>
    </w:p>
    <w:p>
      <w:pPr>
        <w:pStyle w:val="3"/>
        <w:tabs>
          <w:tab w:val="left" w:pos="495"/>
        </w:tabs>
        <w:spacing w:before="0" w:after="0" w:line="560" w:lineRule="exact"/>
        <w:ind w:left="562"/>
        <w:rPr>
          <w:rFonts w:hint="eastAsia" w:ascii="楷体_GB2312" w:hAnsi="宋体" w:eastAsia="楷体_GB2312" w:cs="宋体"/>
          <w:b w:val="0"/>
          <w:szCs w:val="32"/>
        </w:rPr>
      </w:pPr>
      <w:r>
        <w:rPr>
          <w:rFonts w:hint="eastAsia" w:ascii="楷体_GB2312" w:hAnsi="宋体" w:eastAsia="楷体_GB2312" w:cs="宋体"/>
          <w:b w:val="0"/>
          <w:szCs w:val="32"/>
        </w:rPr>
        <w:t>（一）成立初评委员会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初评委员会由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7位成员组成</w:t>
      </w:r>
      <w:r>
        <w:rPr>
          <w:rFonts w:hint="eastAsia" w:ascii="仿宋_GB2312" w:hAnsi="宋体" w:eastAsia="仿宋_GB2312" w:cs="宋体"/>
          <w:sz w:val="32"/>
          <w:szCs w:val="32"/>
        </w:rPr>
        <w:t>。其中：行业专家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从专家库中抽取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），</w:t>
      </w:r>
      <w:r>
        <w:rPr>
          <w:rFonts w:hint="eastAsia" w:ascii="仿宋_GB2312" w:hAnsi="宋体" w:eastAsia="仿宋_GB2312" w:cs="宋体"/>
          <w:sz w:val="32"/>
          <w:szCs w:val="32"/>
        </w:rPr>
        <w:t>主办方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2位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pStyle w:val="3"/>
        <w:tabs>
          <w:tab w:val="left" w:pos="495"/>
        </w:tabs>
        <w:spacing w:before="0" w:after="0" w:line="560" w:lineRule="exact"/>
        <w:ind w:left="562"/>
        <w:rPr>
          <w:rFonts w:ascii="楷体_GB2312" w:hAnsi="宋体" w:eastAsia="楷体_GB2312" w:cs="宋体"/>
          <w:b w:val="0"/>
          <w:szCs w:val="32"/>
        </w:rPr>
      </w:pPr>
      <w:r>
        <w:rPr>
          <w:rFonts w:hint="eastAsia" w:ascii="楷体_GB2312" w:hAnsi="宋体" w:eastAsia="楷体_GB2312" w:cs="宋体"/>
          <w:b w:val="0"/>
          <w:szCs w:val="32"/>
        </w:rPr>
        <w:t>（二）评选细则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1.初评阶段采用综合评选方式，由初评委员会对收到的所有参赛设计方案进行打分，根据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得分从</w:t>
      </w:r>
      <w:r>
        <w:rPr>
          <w:rFonts w:hint="eastAsia" w:ascii="仿宋_GB2312" w:hAnsi="宋体" w:eastAsia="仿宋_GB2312" w:cs="宋体"/>
          <w:sz w:val="32"/>
          <w:szCs w:val="32"/>
        </w:rPr>
        <w:t>高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到</w:t>
      </w:r>
      <w:r>
        <w:rPr>
          <w:rFonts w:hint="eastAsia" w:ascii="仿宋_GB2312" w:hAnsi="宋体" w:eastAsia="仿宋_GB2312" w:cs="宋体"/>
          <w:sz w:val="32"/>
          <w:szCs w:val="32"/>
        </w:rPr>
        <w:t>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排序选出</w:t>
      </w:r>
      <w:r>
        <w:rPr>
          <w:rFonts w:hint="eastAsia" w:ascii="仿宋_GB2312" w:hAnsi="宋体" w:eastAsia="仿宋_GB2312" w:cs="宋体"/>
          <w:sz w:val="32"/>
          <w:szCs w:val="32"/>
        </w:rPr>
        <w:t>8个入围设计方案。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2.评选采用记名方式打分。评选过程中发现的问题和产生的纠纷，由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主办方</w:t>
      </w:r>
      <w:r>
        <w:rPr>
          <w:rFonts w:hint="eastAsia" w:ascii="仿宋_GB2312" w:hAnsi="宋体" w:eastAsia="仿宋_GB2312" w:cs="宋体"/>
          <w:sz w:val="32"/>
          <w:szCs w:val="32"/>
        </w:rPr>
        <w:t>裁决。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3.评选过程接受律师事务所律师见证。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4.评委根据《评分标准》进行评选。</w:t>
      </w:r>
    </w:p>
    <w:p>
      <w:pPr>
        <w:pStyle w:val="3"/>
        <w:spacing w:before="0" w:after="0" w:line="560" w:lineRule="exact"/>
        <w:ind w:firstLine="640" w:firstLineChars="200"/>
        <w:rPr>
          <w:rFonts w:ascii="黑体" w:hAnsi="黑体" w:eastAsia="黑体" w:cs="宋体"/>
          <w:b w:val="0"/>
          <w:szCs w:val="32"/>
        </w:rPr>
      </w:pPr>
      <w:r>
        <w:rPr>
          <w:rFonts w:hint="eastAsia" w:ascii="黑体" w:hAnsi="黑体" w:eastAsia="黑体" w:cs="宋体"/>
          <w:b w:val="0"/>
          <w:szCs w:val="32"/>
        </w:rPr>
        <w:t>二、终评的组织与实施</w:t>
      </w:r>
    </w:p>
    <w:p>
      <w:pPr>
        <w:pStyle w:val="3"/>
        <w:tabs>
          <w:tab w:val="left" w:pos="495"/>
        </w:tabs>
        <w:spacing w:before="0" w:after="0" w:line="560" w:lineRule="exact"/>
        <w:ind w:left="562"/>
        <w:rPr>
          <w:rFonts w:hint="eastAsia" w:eastAsia="楷体_GB2312"/>
          <w:lang w:val="en-US" w:eastAsia="zh-CN"/>
        </w:rPr>
      </w:pPr>
      <w:r>
        <w:rPr>
          <w:rFonts w:hint="eastAsia" w:ascii="楷体_GB2312" w:hAnsi="宋体" w:eastAsia="楷体_GB2312" w:cs="宋体"/>
          <w:b w:val="0"/>
          <w:szCs w:val="32"/>
        </w:rPr>
        <w:t>（一</w:t>
      </w:r>
      <w:r>
        <w:rPr>
          <w:rFonts w:ascii="楷体_GB2312" w:hAnsi="宋体" w:eastAsia="楷体_GB2312" w:cs="宋体"/>
          <w:b w:val="0"/>
          <w:szCs w:val="32"/>
        </w:rPr>
        <w:t>）</w:t>
      </w:r>
      <w:r>
        <w:rPr>
          <w:rFonts w:hint="eastAsia" w:ascii="楷体_GB2312" w:hAnsi="宋体" w:eastAsia="楷体_GB2312" w:cs="宋体"/>
          <w:b w:val="0"/>
          <w:szCs w:val="32"/>
        </w:rPr>
        <w:t>成立终评委员会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1、专家评审团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专家评审团由11位成员组成，</w:t>
      </w:r>
      <w:r>
        <w:rPr>
          <w:rFonts w:hint="eastAsia" w:ascii="仿宋_GB2312" w:hAnsi="宋体" w:eastAsia="仿宋_GB2312" w:cs="宋体"/>
          <w:sz w:val="32"/>
          <w:szCs w:val="32"/>
        </w:rPr>
        <w:t>其中：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行业专家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7位（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从专家库中抽取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、人大代表1位、主办方3位。</w:t>
      </w:r>
    </w:p>
    <w:p>
      <w:pPr>
        <w:pStyle w:val="3"/>
        <w:tabs>
          <w:tab w:val="left" w:pos="495"/>
        </w:tabs>
        <w:spacing w:before="0" w:after="0" w:line="560" w:lineRule="exact"/>
        <w:ind w:left="562"/>
        <w:rPr>
          <w:rFonts w:ascii="楷体_GB2312" w:hAnsi="宋体" w:eastAsia="楷体_GB2312" w:cs="宋体"/>
          <w:b w:val="0"/>
          <w:szCs w:val="32"/>
        </w:rPr>
      </w:pPr>
      <w:r>
        <w:rPr>
          <w:rFonts w:hint="eastAsia" w:ascii="仿宋_GB2312" w:hAnsi="宋体" w:eastAsia="仿宋_GB2312" w:cs="宋体"/>
          <w:b w:val="0"/>
          <w:kern w:val="2"/>
          <w:sz w:val="32"/>
          <w:szCs w:val="32"/>
          <w:lang w:val="en-US" w:eastAsia="zh-CN" w:bidi="ar-SA"/>
        </w:rPr>
        <w:t>2、大众评审团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为提高方案评选结果的社会认可度，将组织200位坪山办事处居民作为大众评审团参评。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（二）评选细则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1.终评阶段采用综合评选方式。初评入围的8个设计方案参加终评（如果有退出的或被取消参赛资格的，则按初评排名依序替补），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用</w:t>
      </w:r>
      <w:r>
        <w:rPr>
          <w:rFonts w:hint="eastAsia" w:ascii="仿宋_GB2312" w:hAnsi="宋体" w:eastAsia="仿宋_GB2312" w:cs="宋体"/>
          <w:sz w:val="32"/>
          <w:szCs w:val="32"/>
        </w:rPr>
        <w:t>抽签方式决定答辩顺序。在入围设计方案提供方进行演示和现场答辩后（其中演示时间为15分钟，答辩时间为5分钟），由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专家评审团</w:t>
      </w:r>
      <w:r>
        <w:rPr>
          <w:rFonts w:hint="eastAsia" w:ascii="仿宋_GB2312" w:hAnsi="宋体" w:eastAsia="仿宋_GB2312" w:cs="宋体"/>
          <w:sz w:val="32"/>
          <w:szCs w:val="32"/>
        </w:rPr>
        <w:t>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大众评审团</w:t>
      </w:r>
      <w:r>
        <w:rPr>
          <w:rFonts w:hint="eastAsia" w:ascii="仿宋_GB2312" w:hAnsi="宋体" w:eastAsia="仿宋_GB2312" w:cs="宋体"/>
          <w:sz w:val="32"/>
          <w:szCs w:val="32"/>
        </w:rPr>
        <w:t>分别打分（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总分为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100分，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专家评审团</w:t>
      </w:r>
      <w:r>
        <w:rPr>
          <w:rFonts w:hint="eastAsia" w:ascii="仿宋_GB2312" w:hAnsi="宋体" w:eastAsia="仿宋_GB2312" w:cs="宋体"/>
          <w:sz w:val="32"/>
          <w:szCs w:val="32"/>
        </w:rPr>
        <w:t>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大众评审团按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百分比</w:t>
      </w:r>
      <w:r>
        <w:rPr>
          <w:rFonts w:hint="eastAsia" w:ascii="仿宋_GB2312" w:hAnsi="宋体" w:eastAsia="仿宋_GB2312" w:cs="宋体"/>
          <w:sz w:val="32"/>
          <w:szCs w:val="32"/>
        </w:rPr>
        <w:t>各占总分的50%），根据总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得分从</w:t>
      </w:r>
      <w:r>
        <w:rPr>
          <w:rFonts w:hint="eastAsia" w:ascii="仿宋_GB2312" w:hAnsi="宋体" w:eastAsia="仿宋_GB2312" w:cs="宋体"/>
          <w:sz w:val="32"/>
          <w:szCs w:val="32"/>
        </w:rPr>
        <w:t>高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到</w:t>
      </w:r>
      <w:r>
        <w:rPr>
          <w:rFonts w:hint="eastAsia" w:ascii="仿宋_GB2312" w:hAnsi="宋体" w:eastAsia="仿宋_GB2312" w:cs="宋体"/>
          <w:sz w:val="32"/>
          <w:szCs w:val="32"/>
        </w:rPr>
        <w:t>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排序</w:t>
      </w:r>
      <w:r>
        <w:rPr>
          <w:rFonts w:hint="eastAsia" w:ascii="仿宋_GB2312" w:hAnsi="宋体" w:eastAsia="仿宋_GB2312" w:cs="宋体"/>
          <w:sz w:val="32"/>
          <w:szCs w:val="32"/>
        </w:rPr>
        <w:t>选出一等奖1名、二等奖2名、三等奖3名、入围奖2名。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2、专家评审团分值计算方式：去掉一个最高分和一个最低分，取剩余得分总和的平均值。</w:t>
      </w:r>
    </w:p>
    <w:p>
      <w:pPr>
        <w:tabs>
          <w:tab w:val="left" w:pos="6586"/>
        </w:tabs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3、大众评审团分值计算方式：</w:t>
      </w:r>
      <w:r>
        <w:rPr>
          <w:rFonts w:hint="eastAsia" w:ascii="仿宋_GB2312" w:hAnsi="宋体" w:eastAsia="仿宋_GB2312" w:cs="宋体"/>
          <w:position w:val="-8"/>
          <w:sz w:val="32"/>
          <w:szCs w:val="32"/>
          <w:lang w:val="en-US" w:eastAsia="zh-CN"/>
        </w:rPr>
        <w:object>
          <v:shape id="_x0000_i1025" o:spt="75" type="#_x0000_t75" style="height:19.8pt;width:64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100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50%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.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专家</w:t>
      </w:r>
      <w:r>
        <w:rPr>
          <w:rFonts w:hint="eastAsia" w:ascii="仿宋_GB2312" w:hAnsi="宋体" w:eastAsia="仿宋_GB2312" w:cs="宋体"/>
          <w:sz w:val="32"/>
          <w:szCs w:val="32"/>
        </w:rPr>
        <w:t>评选采用记名方式评分。评选过程中发现的问题和产生的纠纷，由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主办方</w:t>
      </w:r>
      <w:r>
        <w:rPr>
          <w:rFonts w:hint="eastAsia" w:ascii="仿宋_GB2312" w:hAnsi="宋体" w:eastAsia="仿宋_GB2312" w:cs="宋体"/>
          <w:sz w:val="32"/>
          <w:szCs w:val="32"/>
        </w:rPr>
        <w:t>裁决。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.评分分数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计算至</w:t>
      </w:r>
      <w:r>
        <w:rPr>
          <w:rFonts w:hint="eastAsia" w:ascii="仿宋_GB2312" w:hAnsi="宋体" w:eastAsia="仿宋_GB2312" w:cs="宋体"/>
          <w:sz w:val="32"/>
          <w:szCs w:val="32"/>
        </w:rPr>
        <w:t>小数点后两位，若出现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总分</w:t>
      </w:r>
      <w:r>
        <w:rPr>
          <w:rFonts w:hint="eastAsia" w:ascii="仿宋_GB2312" w:hAnsi="宋体" w:eastAsia="仿宋_GB2312" w:cs="宋体"/>
          <w:sz w:val="32"/>
          <w:szCs w:val="32"/>
        </w:rPr>
        <w:t>同分情况，以专家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评审团</w:t>
      </w:r>
      <w:r>
        <w:rPr>
          <w:rFonts w:hint="eastAsia" w:ascii="仿宋_GB2312" w:hAnsi="宋体" w:eastAsia="仿宋_GB2312" w:cs="宋体"/>
          <w:sz w:val="32"/>
          <w:szCs w:val="32"/>
        </w:rPr>
        <w:t>的评分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从高到低排序</w:t>
      </w:r>
      <w:r>
        <w:rPr>
          <w:rFonts w:hint="eastAsia" w:ascii="仿宋_GB2312" w:hAnsi="宋体" w:eastAsia="仿宋_GB2312" w:cs="宋体"/>
          <w:sz w:val="32"/>
          <w:szCs w:val="32"/>
        </w:rPr>
        <w:t>确定排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名，</w:t>
      </w:r>
      <w:r>
        <w:rPr>
          <w:rFonts w:hint="eastAsia" w:ascii="仿宋_GB2312" w:hAnsi="宋体" w:eastAsia="仿宋_GB2312" w:cs="宋体"/>
          <w:sz w:val="32"/>
          <w:szCs w:val="32"/>
        </w:rPr>
        <w:t>若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专家评审团评分相同</w:t>
      </w:r>
      <w:r>
        <w:rPr>
          <w:rFonts w:hint="eastAsia" w:ascii="仿宋_GB2312" w:hAnsi="宋体" w:eastAsia="仿宋_GB2312" w:cs="宋体"/>
          <w:sz w:val="32"/>
          <w:szCs w:val="32"/>
        </w:rPr>
        <w:t>情况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下</w:t>
      </w:r>
      <w:r>
        <w:rPr>
          <w:rFonts w:hint="eastAsia" w:ascii="仿宋_GB2312" w:hAnsi="宋体" w:eastAsia="仿宋_GB2312" w:cs="宋体"/>
          <w:sz w:val="32"/>
          <w:szCs w:val="32"/>
        </w:rPr>
        <w:t>，则由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大众评审团</w:t>
      </w:r>
      <w:r>
        <w:rPr>
          <w:rFonts w:hint="eastAsia" w:ascii="仿宋_GB2312" w:hAnsi="宋体" w:eastAsia="仿宋_GB2312" w:cs="宋体"/>
          <w:sz w:val="32"/>
          <w:szCs w:val="32"/>
        </w:rPr>
        <w:t>现场再次投票确定排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名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</w:rPr>
        <w:t>.评选过程接受律师事务所律师见证。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.评委根据《评分标准》进行评选。</w:t>
      </w:r>
    </w:p>
    <w:p>
      <w:pPr>
        <w:pStyle w:val="3"/>
        <w:spacing w:before="0" w:after="0" w:line="560" w:lineRule="exact"/>
        <w:ind w:firstLine="640" w:firstLineChars="200"/>
        <w:rPr>
          <w:rFonts w:ascii="黑体" w:hAnsi="黑体" w:eastAsia="黑体" w:cs="宋体"/>
          <w:b w:val="0"/>
          <w:szCs w:val="32"/>
        </w:rPr>
      </w:pPr>
      <w:r>
        <w:rPr>
          <w:rFonts w:hint="eastAsia" w:ascii="黑体" w:hAnsi="黑体" w:eastAsia="黑体" w:cs="宋体"/>
          <w:b w:val="0"/>
          <w:szCs w:val="32"/>
        </w:rPr>
        <w:t>三、取消参赛资格的情形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参赛设计方案有以下情形之一的，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则取消参赛资格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（一）设计方案提交后擅自更改设计方案内容的；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（二）未按要求签署及提交《参赛确认函》的；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sz w:val="32"/>
          <w:szCs w:val="32"/>
        </w:rPr>
        <w:t>）参赛设计方案明显抄袭或侵犯第三方知识产权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的；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sz w:val="32"/>
          <w:szCs w:val="32"/>
        </w:rPr>
        <w:t>）参赛设计方案有其他违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法、违规</w:t>
      </w:r>
      <w:r>
        <w:rPr>
          <w:rFonts w:hint="eastAsia" w:ascii="仿宋_GB2312" w:hAnsi="宋体" w:eastAsia="仿宋_GB2312" w:cs="宋体"/>
          <w:sz w:val="32"/>
          <w:szCs w:val="32"/>
        </w:rPr>
        <w:t>情况的。</w:t>
      </w:r>
    </w:p>
    <w:p>
      <w:pPr>
        <w:pStyle w:val="3"/>
        <w:spacing w:before="0" w:after="0" w:line="560" w:lineRule="exact"/>
        <w:ind w:firstLine="640" w:firstLineChars="200"/>
        <w:rPr>
          <w:rFonts w:ascii="黑体" w:hAnsi="黑体" w:eastAsia="黑体" w:cs="宋体"/>
          <w:b w:val="0"/>
          <w:szCs w:val="32"/>
        </w:rPr>
      </w:pPr>
      <w:r>
        <w:rPr>
          <w:rFonts w:hint="eastAsia" w:ascii="黑体" w:hAnsi="黑体" w:eastAsia="黑体" w:cs="宋体"/>
          <w:b w:val="0"/>
          <w:szCs w:val="32"/>
        </w:rPr>
        <w:t>四、评选结果公告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初评及终评结果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将会于评选结束后，</w:t>
      </w:r>
      <w:r>
        <w:rPr>
          <w:rFonts w:hint="eastAsia" w:ascii="仿宋_GB2312" w:hAnsi="宋体" w:eastAsia="仿宋_GB2312" w:cs="宋体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坪山新区</w:t>
      </w:r>
      <w:r>
        <w:rPr>
          <w:rFonts w:hint="eastAsia" w:ascii="仿宋_GB2312" w:hAnsi="宋体" w:eastAsia="仿宋_GB2312" w:cs="宋体"/>
          <w:sz w:val="32"/>
          <w:szCs w:val="32"/>
        </w:rPr>
        <w:t>政府网站进行公告，公告期为三天。</w:t>
      </w:r>
    </w:p>
    <w:p>
      <w:pPr>
        <w:pStyle w:val="3"/>
        <w:spacing w:before="0" w:after="0" w:line="560" w:lineRule="exact"/>
        <w:ind w:firstLine="640" w:firstLineChars="200"/>
        <w:rPr>
          <w:rFonts w:ascii="黑体" w:hAnsi="黑体" w:eastAsia="黑体" w:cs="宋体"/>
          <w:b w:val="0"/>
          <w:szCs w:val="32"/>
        </w:rPr>
      </w:pPr>
      <w:r>
        <w:rPr>
          <w:rFonts w:hint="eastAsia" w:ascii="黑体" w:hAnsi="黑体" w:eastAsia="黑体" w:cs="宋体"/>
          <w:b w:val="0"/>
          <w:szCs w:val="32"/>
        </w:rPr>
        <w:t>五、奖励标准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（一）一等奖1名，奖金人民币100000元（壹拾万元整）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（二）二等奖2名，奖金人民币50000元（伍万元整）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（三）三等奖3名，奖金人民币20000元（贰万元整）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（四）入围奖2名，奖金人民币5000 元（伍仟元整）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以上奖金包含税金，</w:t>
      </w:r>
      <w:r>
        <w:rPr>
          <w:rFonts w:hint="eastAsia" w:ascii="仿宋_GB2312" w:hAnsi="宋体" w:eastAsia="仿宋_GB2312" w:cs="宋体"/>
          <w:sz w:val="32"/>
          <w:szCs w:val="32"/>
        </w:rPr>
        <w:t>获奖企业或团体需凭企业或团体单位开具的正规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增值税</w:t>
      </w:r>
      <w:r>
        <w:rPr>
          <w:rFonts w:hint="eastAsia" w:ascii="仿宋_GB2312" w:hAnsi="宋体" w:eastAsia="仿宋_GB2312" w:cs="宋体"/>
          <w:sz w:val="32"/>
          <w:szCs w:val="32"/>
        </w:rPr>
        <w:t>发票领取奖金；</w:t>
      </w:r>
    </w:p>
    <w:p>
      <w:pPr>
        <w:pStyle w:val="3"/>
        <w:spacing w:before="0" w:after="0" w:line="560" w:lineRule="exact"/>
        <w:ind w:firstLine="640" w:firstLineChars="200"/>
        <w:rPr>
          <w:rFonts w:ascii="黑体" w:hAnsi="黑体" w:eastAsia="黑体" w:cs="宋体"/>
          <w:b w:val="0"/>
          <w:szCs w:val="32"/>
        </w:rPr>
      </w:pPr>
      <w:r>
        <w:rPr>
          <w:rFonts w:hint="eastAsia" w:ascii="黑体" w:hAnsi="黑体" w:eastAsia="黑体" w:cs="宋体"/>
          <w:b w:val="0"/>
          <w:szCs w:val="32"/>
        </w:rPr>
        <w:t>六、设计大赛时间安排表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（一）竞赛报名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时间</w:t>
      </w:r>
      <w:r>
        <w:rPr>
          <w:rFonts w:hint="eastAsia" w:ascii="仿宋_GB2312" w:hAnsi="宋体" w:eastAsia="仿宋_GB2312" w:cs="宋体"/>
          <w:sz w:val="32"/>
          <w:szCs w:val="32"/>
        </w:rPr>
        <w:t>：2016年7月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日-2016年8月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（二）竞赛方案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提交时间</w:t>
      </w:r>
      <w:r>
        <w:rPr>
          <w:rFonts w:hint="eastAsia" w:ascii="仿宋_GB2312" w:hAnsi="宋体" w:eastAsia="仿宋_GB2312" w:cs="宋体"/>
          <w:sz w:val="32"/>
          <w:szCs w:val="32"/>
        </w:rPr>
        <w:t>：2016年7月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日-2016年8月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（三）初评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时间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2016年9月上旬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sz w:val="32"/>
          <w:szCs w:val="32"/>
        </w:rPr>
        <w:t>）终评暨颁奖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时间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2016年9月下旬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sz w:val="32"/>
          <w:szCs w:val="32"/>
        </w:rPr>
        <w:t>注：终评答辩将会以电子邮件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或</w:t>
      </w:r>
      <w:r>
        <w:rPr>
          <w:rFonts w:hint="eastAsia" w:ascii="仿宋_GB2312" w:hAnsi="宋体" w:eastAsia="仿宋_GB2312" w:cs="宋体"/>
          <w:sz w:val="32"/>
          <w:szCs w:val="32"/>
        </w:rPr>
        <w:t>电话方式进行具体通知。具体时间以最终发布公告为准。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（具体时间以主办方实际工作情况进行调整。）</w:t>
      </w:r>
    </w:p>
    <w:p>
      <w:pPr>
        <w:pStyle w:val="3"/>
        <w:spacing w:before="0" w:after="0" w:line="560" w:lineRule="exact"/>
        <w:ind w:firstLine="640" w:firstLineChars="200"/>
        <w:rPr>
          <w:rFonts w:ascii="黑体" w:hAnsi="黑体" w:eastAsia="黑体" w:cs="宋体"/>
          <w:b w:val="0"/>
          <w:szCs w:val="32"/>
        </w:rPr>
      </w:pPr>
      <w:r>
        <w:rPr>
          <w:rFonts w:hint="eastAsia" w:ascii="黑体" w:hAnsi="黑体" w:eastAsia="黑体" w:cs="宋体"/>
          <w:b w:val="0"/>
          <w:szCs w:val="32"/>
        </w:rPr>
        <w:t>七、设计大赛评分标准</w:t>
      </w:r>
    </w:p>
    <w:tbl>
      <w:tblPr>
        <w:tblStyle w:val="5"/>
        <w:tblW w:w="94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559"/>
        <w:gridCol w:w="5954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0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sz w:val="32"/>
                <w:szCs w:val="32"/>
              </w:rPr>
              <w:t>大赛设计方案评分项及分值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sz w:val="32"/>
                <w:szCs w:val="32"/>
              </w:rPr>
              <w:t>序号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sz w:val="32"/>
                <w:szCs w:val="32"/>
              </w:rPr>
              <w:t>评分项</w:t>
            </w:r>
          </w:p>
        </w:tc>
        <w:tc>
          <w:tcPr>
            <w:tcW w:w="904" w:type="dxa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基本要求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（15分）</w:t>
            </w:r>
          </w:p>
        </w:tc>
        <w:tc>
          <w:tcPr>
            <w:tcW w:w="5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符合国家及深圳市有关法律、法规、规范</w:t>
            </w:r>
          </w:p>
        </w:tc>
        <w:tc>
          <w:tcPr>
            <w:tcW w:w="9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符合大赛公告的要求</w:t>
            </w:r>
          </w:p>
        </w:tc>
        <w:tc>
          <w:tcPr>
            <w:tcW w:w="9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内容切合坪山生活垃圾管理的需求</w:t>
            </w:r>
          </w:p>
        </w:tc>
        <w:tc>
          <w:tcPr>
            <w:tcW w:w="9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设计方实力、行业影响力</w:t>
            </w:r>
          </w:p>
        </w:tc>
        <w:tc>
          <w:tcPr>
            <w:tcW w:w="9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创新性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（10分）</w:t>
            </w:r>
          </w:p>
        </w:tc>
        <w:tc>
          <w:tcPr>
            <w:tcW w:w="595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垃圾管理理念先进程度</w:t>
            </w:r>
          </w:p>
        </w:tc>
        <w:tc>
          <w:tcPr>
            <w:tcW w:w="9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使用技术在国内外的先进程度</w:t>
            </w:r>
          </w:p>
        </w:tc>
        <w:tc>
          <w:tcPr>
            <w:tcW w:w="9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方案的创新点数量</w:t>
            </w:r>
          </w:p>
        </w:tc>
        <w:tc>
          <w:tcPr>
            <w:tcW w:w="9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规划的完整性（10分）</w:t>
            </w:r>
          </w:p>
        </w:tc>
        <w:tc>
          <w:tcPr>
            <w:tcW w:w="595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响应大赛公告的全部需求</w:t>
            </w:r>
          </w:p>
        </w:tc>
        <w:tc>
          <w:tcPr>
            <w:tcW w:w="9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提供超出大赛设计内容的其他有用内容</w:t>
            </w:r>
          </w:p>
        </w:tc>
        <w:tc>
          <w:tcPr>
            <w:tcW w:w="9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提供技术指标的完善程度</w:t>
            </w:r>
          </w:p>
        </w:tc>
        <w:tc>
          <w:tcPr>
            <w:tcW w:w="9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</w:tr>
    </w:tbl>
    <w:p/>
    <w:p/>
    <w:tbl>
      <w:tblPr>
        <w:tblStyle w:val="5"/>
        <w:tblW w:w="94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565"/>
        <w:gridCol w:w="5914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0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sz w:val="32"/>
                <w:szCs w:val="32"/>
              </w:rPr>
              <w:t>大赛设计方案评分项及分值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0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sz w:val="32"/>
                <w:szCs w:val="32"/>
              </w:rPr>
              <w:t>序号</w:t>
            </w:r>
          </w:p>
        </w:tc>
        <w:tc>
          <w:tcPr>
            <w:tcW w:w="74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sz w:val="32"/>
                <w:szCs w:val="32"/>
              </w:rPr>
              <w:t>评分项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00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方案的可行性</w:t>
            </w:r>
          </w:p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55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分）</w:t>
            </w:r>
          </w:p>
        </w:tc>
        <w:tc>
          <w:tcPr>
            <w:tcW w:w="5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方案的应用案例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5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技术指标符合环保要求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5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技术、工艺流程成熟度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5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设施所需场地建设的可行性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5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建设成本的比较优势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5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运营成本的比较优势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5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垃圾处理的减量效果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5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资源回收利用效果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00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方案链条的完整性（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分）</w:t>
            </w:r>
          </w:p>
        </w:tc>
        <w:tc>
          <w:tcPr>
            <w:tcW w:w="5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含有分类投放环节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5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含有分类收集环节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5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含有分类运输环节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00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</w:p>
        </w:tc>
        <w:tc>
          <w:tcPr>
            <w:tcW w:w="5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含有分类处理环节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48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总    分</w:t>
            </w:r>
          </w:p>
        </w:tc>
        <w:tc>
          <w:tcPr>
            <w:tcW w:w="9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  <w:lang w:val="en-US" w:eastAsia="zh-CN"/>
              </w:rPr>
              <w:t>100</w:t>
            </w:r>
          </w:p>
        </w:tc>
      </w:tr>
    </w:tbl>
    <w:p/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758B7"/>
    <w:multiLevelType w:val="multilevel"/>
    <w:tmpl w:val="5FF758B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66361"/>
    <w:rsid w:val="06F663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kern w:val="0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2016-07-13T06:05:00Z</dcterms:created>
  <dc:creator>john</dc:creator>
  <cp:lastModifiedBy>john</cp:lastModifiedBy>
  <dcterms:modified xsi:type="dcterms:W3CDTF">2016-07-13T06:05:45Z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