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rFonts w:hint="eastAsia" w:ascii="CESI黑体-GB2312" w:hAnsi="CESI黑体-GB2312" w:eastAsia="CESI黑体-GB2312" w:cs="CESI黑体-GB2312"/>
          <w:b w:val="0"/>
          <w:sz w:val="28"/>
          <w:szCs w:val="28"/>
          <w:lang w:eastAsia="zh-CN"/>
        </w:rPr>
      </w:pPr>
      <w:r>
        <w:rPr>
          <w:rFonts w:hint="eastAsia" w:ascii="CESI黑体-GB2312" w:hAnsi="CESI黑体-GB2312" w:eastAsia="CESI黑体-GB2312" w:cs="CESI黑体-GB2312"/>
          <w:b w:val="0"/>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rFonts w:hint="eastAsia" w:ascii="方正小标宋简体" w:hAnsi="黑体" w:eastAsia="方正小标宋简体"/>
          <w:b w:val="0"/>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outlineLvl w:val="9"/>
        <w:rPr>
          <w:rFonts w:hint="eastAsia" w:ascii="黑体" w:hAnsi="黑体" w:eastAsia="方正小标宋简体" w:cs="仿宋"/>
          <w:kern w:val="2"/>
          <w:sz w:val="32"/>
          <w:szCs w:val="32"/>
          <w:lang w:val="zh-TW" w:eastAsia="zh-CN"/>
        </w:rPr>
      </w:pPr>
      <w:r>
        <w:rPr>
          <w:rFonts w:hint="eastAsia" w:ascii="方正小标宋简体" w:hAnsi="黑体" w:eastAsia="方正小标宋简体"/>
          <w:b w:val="0"/>
          <w:sz w:val="44"/>
          <w:szCs w:val="44"/>
        </w:rPr>
        <w:t>坪山区人大代表及人大系统工作人员培训服务</w:t>
      </w:r>
      <w:r>
        <w:rPr>
          <w:rFonts w:hint="eastAsia" w:ascii="方正小标宋简体" w:hAnsi="黑体" w:eastAsia="方正小标宋简体"/>
          <w:b w:val="0"/>
          <w:sz w:val="44"/>
          <w:szCs w:val="44"/>
          <w:lang w:eastAsia="zh-CN"/>
        </w:rPr>
        <w:t>招标采购需求</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仿宋"/>
          <w:kern w:val="2"/>
          <w:sz w:val="32"/>
          <w:szCs w:val="32"/>
          <w:lang w:val="zh-TW"/>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仿宋"/>
          <w:kern w:val="2"/>
          <w:sz w:val="32"/>
          <w:szCs w:val="32"/>
          <w:lang w:val="zh-TW" w:eastAsia="zh-CN"/>
        </w:rPr>
      </w:pPr>
      <w:r>
        <w:rPr>
          <w:rFonts w:hint="eastAsia" w:ascii="黑体" w:hAnsi="黑体" w:eastAsia="黑体" w:cs="仿宋"/>
          <w:kern w:val="2"/>
          <w:sz w:val="32"/>
          <w:szCs w:val="32"/>
          <w:lang w:val="zh-TW"/>
        </w:rPr>
        <w:t>一、项目名称</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en-US" w:eastAsia="zh-CN"/>
        </w:rPr>
        <w:t>坪山区人大代表及人大系统工作人员培训服务</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仿宋"/>
          <w:kern w:val="2"/>
          <w:sz w:val="32"/>
          <w:szCs w:val="32"/>
          <w:lang w:val="zh-TW" w:eastAsia="zh-CN"/>
        </w:rPr>
      </w:pPr>
      <w:r>
        <w:rPr>
          <w:rFonts w:hint="eastAsia" w:ascii="黑体" w:hAnsi="黑体" w:eastAsia="黑体" w:cs="仿宋"/>
          <w:kern w:val="2"/>
          <w:sz w:val="32"/>
          <w:szCs w:val="32"/>
          <w:lang w:val="zh-TW" w:eastAsia="zh-CN"/>
        </w:rPr>
        <w:t>投标</w:t>
      </w:r>
      <w:r>
        <w:rPr>
          <w:rFonts w:hint="eastAsia" w:ascii="黑体" w:hAnsi="黑体" w:eastAsia="黑体" w:cs="仿宋"/>
          <w:kern w:val="2"/>
          <w:sz w:val="32"/>
          <w:szCs w:val="32"/>
          <w:lang w:val="zh-TW"/>
        </w:rPr>
        <w:t>金额</w:t>
      </w:r>
      <w:r>
        <w:rPr>
          <w:rFonts w:hint="eastAsia" w:ascii="黑体" w:hAnsi="黑体" w:eastAsia="黑体" w:cs="仿宋"/>
          <w:kern w:val="2"/>
          <w:sz w:val="32"/>
          <w:szCs w:val="32"/>
          <w:lang w:val="zh-TW"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zh-TW" w:eastAsia="zh-CN"/>
        </w:rPr>
      </w:pPr>
      <w:r>
        <w:rPr>
          <w:rFonts w:hint="eastAsia" w:ascii="仿宋_GB2312" w:hAnsi="仿宋_GB2312" w:eastAsia="仿宋_GB2312" w:cs="仿宋_GB2312"/>
          <w:kern w:val="2"/>
          <w:sz w:val="32"/>
          <w:szCs w:val="32"/>
          <w:lang w:val="en-US" w:eastAsia="zh-CN"/>
        </w:rPr>
        <w:t>17.305</w:t>
      </w:r>
      <w:r>
        <w:rPr>
          <w:rFonts w:hint="eastAsia" w:ascii="仿宋_GB2312" w:hAnsi="仿宋_GB2312" w:eastAsia="仿宋_GB2312" w:cs="仿宋_GB2312"/>
          <w:kern w:val="2"/>
          <w:sz w:val="32"/>
          <w:szCs w:val="32"/>
          <w:lang w:val="zh-TW"/>
        </w:rPr>
        <w:t>万元</w:t>
      </w:r>
      <w:r>
        <w:rPr>
          <w:rFonts w:hint="eastAsia" w:ascii="仿宋_GB2312" w:hAnsi="仿宋_GB2312" w:eastAsia="仿宋_GB2312" w:cs="仿宋_GB2312"/>
          <w:kern w:val="2"/>
          <w:sz w:val="32"/>
          <w:szCs w:val="32"/>
          <w:lang w:val="zh-TW" w:eastAsia="zh-CN"/>
        </w:rPr>
        <w:t>以内</w:t>
      </w:r>
      <w:r>
        <w:rPr>
          <w:rFonts w:hint="eastAsia" w:ascii="仿宋_GB2312" w:hAnsi="仿宋_GB2312" w:eastAsia="仿宋_GB2312" w:cs="仿宋_GB2312"/>
          <w:kern w:val="2"/>
          <w:sz w:val="32"/>
          <w:szCs w:val="32"/>
          <w:lang w:val="zh-TW"/>
        </w:rPr>
        <w:t>，</w:t>
      </w:r>
      <w:r>
        <w:rPr>
          <w:rFonts w:hint="eastAsia" w:ascii="仿宋_GB2312" w:hAnsi="仿宋_GB2312" w:eastAsia="仿宋_GB2312" w:cs="仿宋_GB2312"/>
          <w:kern w:val="2"/>
          <w:sz w:val="32"/>
          <w:szCs w:val="32"/>
          <w:lang w:val="zh-TW" w:eastAsia="zh-CN"/>
        </w:rPr>
        <w:t>投标单位投标金额应控制在</w:t>
      </w:r>
      <w:r>
        <w:rPr>
          <w:rFonts w:hint="eastAsia" w:ascii="仿宋_GB2312" w:hAnsi="仿宋_GB2312" w:eastAsia="仿宋_GB2312" w:cs="仿宋_GB2312"/>
          <w:kern w:val="2"/>
          <w:sz w:val="32"/>
          <w:szCs w:val="32"/>
          <w:lang w:val="en-US" w:eastAsia="zh-CN"/>
        </w:rPr>
        <w:t>17.305</w:t>
      </w:r>
      <w:r>
        <w:rPr>
          <w:rFonts w:hint="eastAsia" w:ascii="仿宋_GB2312" w:hAnsi="仿宋_GB2312" w:eastAsia="仿宋_GB2312" w:cs="仿宋_GB2312"/>
          <w:kern w:val="2"/>
          <w:sz w:val="32"/>
          <w:szCs w:val="32"/>
          <w:lang w:val="zh-TW" w:eastAsia="zh-CN"/>
        </w:rPr>
        <w:t>万元（含）以内，超出预算视为无效投标。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黑体" w:hAnsi="黑体" w:eastAsia="黑体" w:cs="仿宋"/>
          <w:kern w:val="2"/>
          <w:sz w:val="32"/>
          <w:szCs w:val="32"/>
          <w:lang w:val="zh-TW"/>
        </w:rPr>
      </w:pPr>
      <w:r>
        <w:rPr>
          <w:rFonts w:hint="eastAsia" w:ascii="黑体" w:hAnsi="黑体" w:eastAsia="黑体" w:cs="仿宋"/>
          <w:kern w:val="2"/>
          <w:sz w:val="32"/>
          <w:szCs w:val="32"/>
          <w:lang w:val="zh-TW" w:eastAsia="zh-CN"/>
        </w:rPr>
        <w:t>三</w:t>
      </w:r>
      <w:r>
        <w:rPr>
          <w:rFonts w:hint="eastAsia" w:ascii="黑体" w:hAnsi="黑体" w:eastAsia="黑体" w:cs="仿宋"/>
          <w:kern w:val="2"/>
          <w:sz w:val="32"/>
          <w:szCs w:val="32"/>
          <w:lang w:val="zh-TW"/>
        </w:rPr>
        <w:t>、采购项目说明和内容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zh-TW" w:eastAsia="zh-CN"/>
        </w:rPr>
      </w:pPr>
      <w:r>
        <w:rPr>
          <w:rFonts w:hint="eastAsia" w:ascii="楷体_GB2312" w:hAnsi="楷体_GB2312" w:eastAsia="楷体_GB2312" w:cs="楷体_GB2312"/>
          <w:kern w:val="2"/>
          <w:sz w:val="32"/>
          <w:szCs w:val="32"/>
          <w:lang w:val="zh-TW"/>
        </w:rPr>
        <w:t>（一）项目简介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cs="仿宋"/>
          <w:kern w:val="2"/>
          <w:sz w:val="32"/>
          <w:szCs w:val="32"/>
          <w:lang w:val="zh-TW"/>
        </w:rPr>
      </w:pPr>
      <w:r>
        <w:rPr>
          <w:rFonts w:hint="eastAsia" w:ascii="仿宋_GB2312" w:hAnsi="仿宋_GB2312" w:eastAsia="仿宋_GB2312" w:cs="仿宋_GB2312"/>
          <w:kern w:val="2"/>
          <w:sz w:val="32"/>
          <w:szCs w:val="32"/>
          <w:lang w:val="zh-TW" w:eastAsia="zh-CN"/>
        </w:rPr>
        <w:t>为进一步提升坪山区人大代表和人大系统工作人员业务能力，</w:t>
      </w:r>
      <w:r>
        <w:rPr>
          <w:rFonts w:hint="eastAsia" w:ascii="仿宋_GB2312" w:hAnsi="仿宋_GB2312" w:eastAsia="仿宋_GB2312" w:cs="仿宋_GB2312"/>
          <w:kern w:val="2"/>
          <w:sz w:val="32"/>
          <w:szCs w:val="32"/>
          <w:lang w:val="zh-TW"/>
        </w:rPr>
        <w:t>拟于20</w:t>
      </w:r>
      <w:r>
        <w:rPr>
          <w:rFonts w:hint="eastAsia" w:ascii="仿宋_GB2312" w:hAnsi="仿宋_GB2312" w:eastAsia="仿宋_GB2312" w:cs="仿宋_GB2312"/>
          <w:kern w:val="2"/>
          <w:sz w:val="32"/>
          <w:szCs w:val="32"/>
          <w:lang w:val="en-US" w:eastAsia="zh-CN"/>
        </w:rPr>
        <w:t>24</w:t>
      </w:r>
      <w:r>
        <w:rPr>
          <w:rFonts w:hint="eastAsia" w:ascii="仿宋_GB2312" w:hAnsi="仿宋_GB2312" w:eastAsia="仿宋_GB2312" w:cs="仿宋_GB2312"/>
          <w:kern w:val="2"/>
          <w:sz w:val="32"/>
          <w:szCs w:val="32"/>
          <w:lang w:val="zh-TW"/>
        </w:rPr>
        <w:t>年</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val="zh-TW"/>
        </w:rPr>
        <w:t>月</w:t>
      </w:r>
      <w:r>
        <w:rPr>
          <w:rFonts w:hint="eastAsia" w:ascii="仿宋_GB2312" w:hAnsi="仿宋_GB2312" w:eastAsia="仿宋_GB2312" w:cs="仿宋_GB2312"/>
          <w:kern w:val="2"/>
          <w:sz w:val="32"/>
          <w:szCs w:val="32"/>
          <w:lang w:val="en-US" w:eastAsia="zh-CN"/>
        </w:rPr>
        <w:t>8日-12日</w:t>
      </w:r>
      <w:r>
        <w:rPr>
          <w:rFonts w:hint="eastAsia" w:ascii="仿宋_GB2312" w:hAnsi="仿宋_GB2312" w:eastAsia="仿宋_GB2312" w:cs="仿宋_GB2312"/>
          <w:kern w:val="2"/>
          <w:sz w:val="32"/>
          <w:szCs w:val="32"/>
          <w:lang w:val="zh-TW" w:eastAsia="zh-CN"/>
        </w:rPr>
        <w:t>前往广安、重庆</w:t>
      </w:r>
      <w:r>
        <w:rPr>
          <w:rFonts w:hint="eastAsia" w:ascii="仿宋_GB2312" w:hAnsi="仿宋_GB2312" w:eastAsia="仿宋_GB2312" w:cs="仿宋_GB2312"/>
          <w:kern w:val="2"/>
          <w:sz w:val="32"/>
          <w:szCs w:val="32"/>
          <w:lang w:val="zh-TW"/>
        </w:rPr>
        <w:t>开</w:t>
      </w:r>
      <w:r>
        <w:rPr>
          <w:rFonts w:hint="eastAsia" w:ascii="仿宋_GB2312" w:hAnsi="仿宋_GB2312" w:eastAsia="仿宋_GB2312" w:cs="仿宋_GB2312"/>
          <w:kern w:val="2"/>
          <w:sz w:val="32"/>
          <w:szCs w:val="32"/>
          <w:lang w:val="zh-TW" w:eastAsia="zh-CN"/>
        </w:rPr>
        <w:t>展</w:t>
      </w:r>
      <w:r>
        <w:rPr>
          <w:rFonts w:hint="eastAsia" w:ascii="仿宋_GB2312" w:hAnsi="仿宋_GB2312" w:eastAsia="仿宋_GB2312" w:cs="仿宋_GB2312"/>
          <w:kern w:val="2"/>
          <w:sz w:val="32"/>
          <w:szCs w:val="32"/>
          <w:lang w:val="zh-TW"/>
        </w:rPr>
        <w:t>培训</w:t>
      </w:r>
      <w:r>
        <w:rPr>
          <w:rFonts w:hint="eastAsia" w:ascii="仿宋_GB2312" w:hAnsi="仿宋_GB2312" w:eastAsia="仿宋_GB2312" w:cs="仿宋_GB2312"/>
          <w:kern w:val="2"/>
          <w:sz w:val="32"/>
          <w:szCs w:val="32"/>
          <w:lang w:val="zh-TW" w:eastAsia="zh-CN"/>
        </w:rPr>
        <w:t>活动</w:t>
      </w:r>
      <w:r>
        <w:rPr>
          <w:rFonts w:hint="eastAsia" w:ascii="仿宋_GB2312" w:hAnsi="仿宋_GB2312" w:eastAsia="仿宋_GB2312" w:cs="仿宋_GB2312"/>
          <w:kern w:val="2"/>
          <w:sz w:val="32"/>
          <w:szCs w:val="32"/>
          <w:lang w:val="zh-TW"/>
        </w:rPr>
        <w:t>，为期</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val="zh-TW"/>
        </w:rPr>
        <w:t>天，50人</w:t>
      </w:r>
      <w:r>
        <w:rPr>
          <w:rFonts w:hint="eastAsia" w:ascii="仿宋_GB2312" w:hAnsi="仿宋_GB2312" w:eastAsia="仿宋_GB2312" w:cs="仿宋_GB2312"/>
          <w:kern w:val="2"/>
          <w:sz w:val="32"/>
          <w:szCs w:val="32"/>
          <w:lang w:val="zh-TW" w:eastAsia="zh-CN"/>
        </w:rPr>
        <w:t>内</w:t>
      </w:r>
      <w:r>
        <w:rPr>
          <w:rFonts w:hint="eastAsia" w:ascii="仿宋_GB2312" w:hAnsi="仿宋_GB2312" w:eastAsia="仿宋_GB2312" w:cs="仿宋_GB2312"/>
          <w:kern w:val="2"/>
          <w:sz w:val="32"/>
          <w:szCs w:val="32"/>
          <w:lang w:val="zh-TW"/>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zh-TW"/>
        </w:rPr>
        <w:t>（二）采购内容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采购内容包括组织策划、培训组织、师资安排等服务事项。</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1、编制培训实施方案。做好全程培训实施方案的设计，确定培训内容、培训师资、课程设计、时间安排等，协助做好培训现场的组织，并确保培训顺利完成。</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2、负责参训人员的食宿、教务服务、市内交通出行</w:t>
      </w:r>
      <w:r>
        <w:rPr>
          <w:rFonts w:hint="eastAsia" w:ascii="仿宋_GB2312" w:hAnsi="仿宋_GB2312" w:eastAsia="仿宋_GB2312" w:cs="仿宋_GB2312"/>
          <w:kern w:val="2"/>
          <w:sz w:val="32"/>
          <w:szCs w:val="32"/>
          <w:lang w:val="zh-TW" w:eastAsia="zh-CN"/>
        </w:rPr>
        <w:t>、除机票以外的城际租车费</w:t>
      </w:r>
      <w:r>
        <w:rPr>
          <w:rFonts w:hint="eastAsia" w:ascii="仿宋_GB2312" w:hAnsi="仿宋_GB2312" w:eastAsia="仿宋_GB2312" w:cs="仿宋_GB2312"/>
          <w:kern w:val="2"/>
          <w:sz w:val="32"/>
          <w:szCs w:val="32"/>
          <w:lang w:val="zh-TW"/>
        </w:rPr>
        <w:t>及其他应急服务，负责整个培训的开展实施，为现场培训的开展提供保障，及时解决培训过程中出现的问题。负责班务组织、纪律说明、场地布置、学辅材料准备等。</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zh-TW" w:eastAsia="zh-CN"/>
        </w:rPr>
      </w:pPr>
      <w:r>
        <w:rPr>
          <w:rFonts w:hint="eastAsia" w:ascii="楷体_GB2312" w:hAnsi="楷体_GB2312" w:eastAsia="楷体_GB2312" w:cs="楷体_GB2312"/>
          <w:kern w:val="2"/>
          <w:sz w:val="32"/>
          <w:szCs w:val="32"/>
          <w:lang w:val="zh-TW"/>
        </w:rPr>
        <w:t>（三）项目管理要求</w:t>
      </w:r>
      <w:r>
        <w:rPr>
          <w:rFonts w:hint="eastAsia" w:ascii="楷体_GB2312" w:hAnsi="楷体_GB2312" w:eastAsia="楷体_GB2312" w:cs="楷体_GB2312"/>
          <w:kern w:val="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为确保本次项目投标工作管理规范、实施有力，投标方应成立项目组，按采购人要求完成。</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outlineLvl w:val="9"/>
        <w:rPr>
          <w:rFonts w:hint="eastAsia" w:ascii="黑体" w:hAnsi="黑体" w:eastAsia="黑体" w:cs="仿宋"/>
          <w:sz w:val="32"/>
          <w:szCs w:val="32"/>
          <w:lang w:val="zh-TW"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商务要求</w:t>
      </w:r>
    </w:p>
    <w:p>
      <w:pPr>
        <w:keepNext w:val="0"/>
        <w:keepLines w:val="0"/>
        <w:pageBreakBefore w:val="0"/>
        <w:kinsoku/>
        <w:wordWrap/>
        <w:overflowPunct/>
        <w:topLinePunct w:val="0"/>
        <w:bidi w:val="0"/>
        <w:spacing w:line="560" w:lineRule="exact"/>
        <w:ind w:firstLine="640" w:firstLineChars="200"/>
        <w:textAlignment w:val="auto"/>
        <w:outlineLvl w:val="9"/>
        <w:rPr>
          <w:rFonts w:hint="eastAsia" w:ascii="仿宋_GB2312" w:hAnsi="宋体" w:eastAsia="仿宋_GB2312" w:cs="Times New Roman"/>
          <w:bCs/>
          <w:kern w:val="2"/>
          <w:sz w:val="32"/>
          <w:szCs w:val="32"/>
          <w:lang w:val="zh-TW" w:eastAsia="zh-CN" w:bidi="ar-SA"/>
        </w:rPr>
      </w:pPr>
      <w:r>
        <w:rPr>
          <w:rFonts w:hint="eastAsia" w:ascii="仿宋_GB2312" w:hAnsi="宋体" w:eastAsia="仿宋_GB2312" w:cs="Times New Roman"/>
          <w:bCs/>
          <w:kern w:val="2"/>
          <w:sz w:val="32"/>
          <w:szCs w:val="32"/>
          <w:lang w:val="zh-TW" w:eastAsia="zh-CN" w:bidi="ar-SA"/>
        </w:rPr>
        <w:t>本项目采用综合评分的方式</w:t>
      </w:r>
      <w:r>
        <w:rPr>
          <w:rFonts w:hint="eastAsia" w:ascii="仿宋_GB2312" w:hAnsi="宋体" w:eastAsia="仿宋_GB2312" w:cs="Times New Roman"/>
          <w:bCs/>
          <w:sz w:val="32"/>
          <w:szCs w:val="32"/>
          <w:lang w:val="zh-TW" w:eastAsia="zh-CN"/>
        </w:rPr>
        <w:t>遴选</w:t>
      </w:r>
      <w:r>
        <w:rPr>
          <w:rFonts w:hint="eastAsia" w:ascii="仿宋_GB2312" w:hAnsi="宋体" w:eastAsia="仿宋_GB2312" w:cs="Times New Roman"/>
          <w:bCs/>
          <w:sz w:val="32"/>
          <w:szCs w:val="32"/>
          <w:lang w:val="zh-TW"/>
        </w:rPr>
        <w:t>，</w:t>
      </w:r>
      <w:r>
        <w:rPr>
          <w:rFonts w:hint="eastAsia" w:ascii="仿宋_GB2312" w:hAnsi="宋体" w:eastAsia="仿宋_GB2312" w:cs="Times New Roman"/>
          <w:bCs/>
          <w:sz w:val="32"/>
          <w:szCs w:val="32"/>
          <w:lang w:val="zh-TW" w:eastAsia="zh-CN"/>
        </w:rPr>
        <w:t>最高分为中标单位。</w:t>
      </w:r>
      <w:r>
        <w:rPr>
          <w:rFonts w:hint="eastAsia" w:ascii="仿宋_GB2312" w:hAnsi="宋体" w:eastAsia="仿宋_GB2312" w:cs="Times New Roman"/>
          <w:bCs/>
          <w:sz w:val="32"/>
          <w:szCs w:val="32"/>
          <w:lang w:val="zh-TW"/>
        </w:rPr>
        <w:t>具体投标人资格要求及评标方法如下：</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（一）投标人资格要求</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ascii="仿宋_GB2312" w:hAnsi="宋体" w:eastAsia="仿宋_GB2312"/>
          <w:bCs/>
          <w:color w:val="auto"/>
          <w:sz w:val="32"/>
          <w:szCs w:val="32"/>
        </w:rPr>
      </w:pPr>
      <w:r>
        <w:rPr>
          <w:rFonts w:hint="eastAsia" w:ascii="仿宋_GB2312" w:hAnsi="宋体" w:eastAsia="仿宋_GB2312"/>
          <w:bCs/>
          <w:color w:val="auto"/>
          <w:sz w:val="32"/>
          <w:szCs w:val="32"/>
        </w:rPr>
        <w:t>1.必须是独立法人企业或其他合法组织，须提供有效的注册登记证书（复印件加盖投标人公章）。</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kern w:val="2"/>
          <w:sz w:val="32"/>
          <w:szCs w:val="32"/>
          <w:lang w:val="zh-TW"/>
        </w:rPr>
        <w:t>具有开展培训相关经验</w:t>
      </w:r>
      <w:r>
        <w:rPr>
          <w:rFonts w:hint="eastAsia" w:ascii="仿宋_GB2312" w:hAnsi="仿宋_GB2312" w:eastAsia="仿宋_GB2312" w:cs="仿宋_GB2312"/>
          <w:bCs/>
          <w:color w:val="auto"/>
          <w:sz w:val="32"/>
          <w:szCs w:val="32"/>
          <w:lang w:eastAsia="zh-CN"/>
        </w:rPr>
        <w:t>；</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ascii="仿宋_GB2312" w:hAnsi="宋体" w:eastAsia="仿宋_GB2312"/>
          <w:bCs/>
          <w:color w:val="auto"/>
          <w:sz w:val="32"/>
          <w:szCs w:val="32"/>
        </w:rPr>
      </w:pPr>
      <w:r>
        <w:rPr>
          <w:rFonts w:hint="eastAsia" w:ascii="仿宋_GB2312" w:hAnsi="宋体" w:eastAsia="仿宋_GB2312"/>
          <w:bCs/>
          <w:color w:val="auto"/>
          <w:sz w:val="32"/>
          <w:szCs w:val="32"/>
        </w:rPr>
        <w:t>3.参与本项目政府采购活动时不存在被有关部门禁止参与政府采购活动且在有效期内的情况；</w:t>
      </w:r>
    </w:p>
    <w:p>
      <w:pPr>
        <w:pStyle w:val="13"/>
        <w:keepNext w:val="0"/>
        <w:keepLines w:val="0"/>
        <w:pageBreakBefore w:val="0"/>
        <w:kinsoku/>
        <w:wordWrap/>
        <w:overflowPunct/>
        <w:topLinePunct w:val="0"/>
        <w:autoSpaceDE/>
        <w:autoSpaceDN/>
        <w:bidi w:val="0"/>
        <w:spacing w:after="0" w:line="560" w:lineRule="exact"/>
        <w:ind w:left="0" w:leftChars="0" w:right="0" w:rightChars="0" w:firstLine="678" w:firstLineChars="212"/>
        <w:textAlignment w:val="auto"/>
        <w:rPr>
          <w:rFonts w:ascii="仿宋_GB2312" w:hAnsi="宋体" w:eastAsia="仿宋_GB2312"/>
          <w:bCs/>
          <w:color w:val="auto"/>
          <w:sz w:val="32"/>
          <w:szCs w:val="32"/>
        </w:rPr>
      </w:pPr>
      <w:r>
        <w:rPr>
          <w:rFonts w:hint="eastAsia" w:ascii="仿宋_GB2312" w:hAnsi="宋体" w:eastAsia="仿宋_GB2312"/>
          <w:bCs/>
          <w:color w:val="auto"/>
          <w:sz w:val="32"/>
          <w:szCs w:val="32"/>
        </w:rPr>
        <w:t>4.本项目不允许转包分包，不接受联合体投标。</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ascii="楷体" w:hAnsi="楷体" w:eastAsia="楷体"/>
          <w:color w:val="auto"/>
          <w:sz w:val="32"/>
          <w:szCs w:val="32"/>
        </w:rPr>
      </w:pPr>
      <w:r>
        <w:rPr>
          <w:rFonts w:hint="eastAsia" w:ascii="楷体" w:hAnsi="楷体" w:eastAsia="楷体"/>
          <w:color w:val="auto"/>
          <w:sz w:val="32"/>
          <w:szCs w:val="32"/>
        </w:rPr>
        <w:t xml:space="preserve"> </w:t>
      </w:r>
      <w:r>
        <w:rPr>
          <w:rFonts w:hint="eastAsia" w:ascii="楷体_GB2312" w:hAnsi="楷体_GB2312" w:eastAsia="楷体_GB2312" w:cs="楷体_GB2312"/>
          <w:color w:val="auto"/>
          <w:sz w:val="32"/>
          <w:szCs w:val="32"/>
        </w:rPr>
        <w:t>（二）投标报价要求</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ascii="仿宋_GB2312" w:hAnsi="宋体" w:eastAsia="仿宋_GB2312"/>
          <w:bCs/>
          <w:color w:val="auto"/>
          <w:sz w:val="32"/>
          <w:szCs w:val="32"/>
        </w:rPr>
      </w:pPr>
      <w:r>
        <w:rPr>
          <w:rFonts w:hint="eastAsia" w:ascii="仿宋_GB2312" w:hAnsi="宋体" w:eastAsia="仿宋_GB2312"/>
          <w:bCs/>
          <w:color w:val="auto"/>
          <w:sz w:val="32"/>
          <w:szCs w:val="32"/>
        </w:rPr>
        <w:t>1.投标单位应提供详细分项报价清单及总报价。</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ascii="仿宋_GB2312" w:hAnsi="宋体" w:eastAsia="仿宋_GB2312"/>
          <w:bCs/>
          <w:color w:val="auto"/>
          <w:sz w:val="32"/>
          <w:szCs w:val="32"/>
        </w:rPr>
      </w:pPr>
      <w:r>
        <w:rPr>
          <w:rFonts w:hint="eastAsia" w:ascii="仿宋_GB2312" w:hAnsi="宋体" w:eastAsia="仿宋_GB2312"/>
          <w:bCs/>
          <w:color w:val="auto"/>
          <w:sz w:val="32"/>
          <w:szCs w:val="32"/>
        </w:rPr>
        <w:t>2.本项目服务费采用包干制，应包括服务成本、法定税费和企业的利润等，由企业根据招标文件所提供的资料自行测算投标报价，一经中标，投标报价总价作为中标单位与采购单位签订的合同金额，合同期限内不做调整。</w:t>
      </w:r>
    </w:p>
    <w:p>
      <w:pPr>
        <w:pStyle w:val="13"/>
        <w:keepNext w:val="0"/>
        <w:keepLines w:val="0"/>
        <w:pageBreakBefore w:val="0"/>
        <w:kinsoku/>
        <w:wordWrap/>
        <w:overflowPunct/>
        <w:topLinePunct w:val="0"/>
        <w:autoSpaceDE/>
        <w:autoSpaceDN/>
        <w:bidi w:val="0"/>
        <w:spacing w:after="0" w:line="560" w:lineRule="exact"/>
        <w:ind w:left="0" w:leftChars="0" w:right="0" w:rightChars="0" w:firstLine="640"/>
        <w:textAlignment w:val="auto"/>
        <w:rPr>
          <w:rFonts w:hint="eastAsia" w:ascii="仿宋_GB2312" w:hAnsi="宋体" w:eastAsia="仿宋_GB2312"/>
          <w:bCs/>
          <w:color w:val="auto"/>
          <w:sz w:val="32"/>
          <w:szCs w:val="32"/>
        </w:rPr>
      </w:pPr>
      <w:r>
        <w:rPr>
          <w:rFonts w:hint="eastAsia" w:ascii="仿宋_GB2312" w:hAnsi="宋体" w:eastAsia="仿宋_GB2312"/>
          <w:bCs/>
          <w:color w:val="auto"/>
          <w:sz w:val="32"/>
          <w:szCs w:val="32"/>
          <w:lang w:val="en-US" w:eastAsia="zh-CN"/>
        </w:rPr>
        <w:t>3</w:t>
      </w:r>
      <w:r>
        <w:rPr>
          <w:rFonts w:hint="eastAsia" w:ascii="仿宋_GB2312" w:hAnsi="宋体" w:eastAsia="仿宋_GB2312"/>
          <w:bCs/>
          <w:color w:val="auto"/>
          <w:sz w:val="32"/>
          <w:szCs w:val="32"/>
        </w:rPr>
        <w:t>.本项目投标人投标报价需以人民币为单位，项目预算金额总计不超过人民币</w:t>
      </w:r>
      <w:r>
        <w:rPr>
          <w:rFonts w:hint="eastAsia" w:ascii="仿宋_GB2312" w:hAnsi="宋体" w:eastAsia="仿宋_GB2312"/>
          <w:bCs/>
          <w:color w:val="auto"/>
          <w:sz w:val="32"/>
          <w:szCs w:val="32"/>
          <w:lang w:val="en-US" w:eastAsia="zh-CN"/>
        </w:rPr>
        <w:t>17.305万</w:t>
      </w:r>
      <w:r>
        <w:rPr>
          <w:rFonts w:hint="eastAsia" w:ascii="仿宋_GB2312" w:hAnsi="宋体" w:eastAsia="仿宋_GB2312"/>
          <w:bCs/>
          <w:color w:val="auto"/>
          <w:sz w:val="32"/>
          <w:szCs w:val="32"/>
        </w:rPr>
        <w:t>元整（大写：</w:t>
      </w:r>
      <w:r>
        <w:rPr>
          <w:rFonts w:hint="eastAsia" w:ascii="仿宋_GB2312" w:hAnsi="宋体" w:eastAsia="仿宋_GB2312"/>
          <w:bCs/>
          <w:color w:val="auto"/>
          <w:sz w:val="32"/>
          <w:szCs w:val="32"/>
          <w:lang w:eastAsia="zh-CN"/>
        </w:rPr>
        <w:t>拾柒万叁仟零伍拾元整</w:t>
      </w:r>
      <w:r>
        <w:rPr>
          <w:rFonts w:hint="eastAsia" w:ascii="仿宋_GB2312" w:hAnsi="宋体" w:eastAsia="仿宋_GB2312"/>
          <w:bCs/>
          <w:color w:val="auto"/>
          <w:sz w:val="32"/>
          <w:szCs w:val="32"/>
        </w:rPr>
        <w:t>）。</w:t>
      </w:r>
    </w:p>
    <w:p>
      <w:pPr>
        <w:pStyle w:val="13"/>
        <w:keepNext w:val="0"/>
        <w:keepLines w:val="0"/>
        <w:pageBreakBefore w:val="0"/>
        <w:kinsoku/>
        <w:wordWrap/>
        <w:overflowPunct/>
        <w:topLinePunct w:val="0"/>
        <w:bidi w:val="0"/>
        <w:spacing w:line="560" w:lineRule="exact"/>
        <w:ind w:firstLine="640"/>
        <w:textAlignment w:val="auto"/>
        <w:rPr>
          <w:rFonts w:hint="eastAsia" w:ascii="仿宋_GB2312" w:hAnsi="宋体" w:eastAsia="仿宋_GB2312"/>
          <w:bCs/>
          <w:color w:val="auto"/>
          <w:sz w:val="32"/>
          <w:szCs w:val="32"/>
        </w:rPr>
      </w:pPr>
      <w:r>
        <w:rPr>
          <w:rFonts w:hint="eastAsia" w:ascii="仿宋_GB2312" w:hAnsi="宋体" w:eastAsia="仿宋_GB2312"/>
          <w:bCs/>
          <w:color w:val="auto"/>
          <w:sz w:val="32"/>
          <w:szCs w:val="32"/>
        </w:rPr>
        <w:t>4.投标单位的投标报价，应是本项目招标范围和招标文件及合同条款上所列的各项内容中所述的全部，不得以任何理由予以重复，并以投标单位提出的综合单价或总价为依据。</w:t>
      </w:r>
    </w:p>
    <w:p>
      <w:pPr>
        <w:pStyle w:val="13"/>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color w:val="auto"/>
          <w:sz w:val="32"/>
          <w:szCs w:val="32"/>
          <w:lang w:val="zh-TW"/>
        </w:rPr>
      </w:pPr>
      <w:r>
        <w:rPr>
          <w:rFonts w:hint="eastAsia" w:ascii="楷体_GB2312" w:hAnsi="楷体_GB2312" w:eastAsia="楷体_GB2312" w:cs="楷体_GB2312"/>
          <w:color w:val="auto"/>
          <w:sz w:val="32"/>
          <w:szCs w:val="32"/>
          <w:lang w:val="zh-TW"/>
        </w:rPr>
        <w:t>（</w:t>
      </w:r>
      <w:r>
        <w:rPr>
          <w:rFonts w:hint="eastAsia" w:ascii="楷体_GB2312" w:hAnsi="楷体_GB2312" w:eastAsia="楷体_GB2312" w:cs="楷体_GB2312"/>
          <w:color w:val="auto"/>
          <w:sz w:val="32"/>
          <w:szCs w:val="32"/>
          <w:lang w:val="zh-TW" w:eastAsia="zh-CN"/>
        </w:rPr>
        <w:t>三</w:t>
      </w:r>
      <w:r>
        <w:rPr>
          <w:rFonts w:hint="eastAsia" w:ascii="楷体_GB2312" w:hAnsi="楷体_GB2312" w:eastAsia="楷体_GB2312" w:cs="楷体_GB2312"/>
          <w:color w:val="auto"/>
          <w:sz w:val="32"/>
          <w:szCs w:val="32"/>
          <w:lang w:val="zh-TW"/>
        </w:rPr>
        <w:t>）评标方法</w:t>
      </w:r>
    </w:p>
    <w:p>
      <w:pPr>
        <w:keepNext w:val="0"/>
        <w:keepLines w:val="0"/>
        <w:pageBreakBefore w:val="0"/>
        <w:widowControl/>
        <w:kinsoku/>
        <w:wordWrap/>
        <w:overflowPunct/>
        <w:topLinePunct w:val="0"/>
        <w:autoSpaceDE/>
        <w:autoSpaceDN/>
        <w:bidi w:val="0"/>
        <w:adjustRightInd w:val="0"/>
        <w:snapToGrid w:val="0"/>
        <w:spacing w:after="200" w:line="560" w:lineRule="exact"/>
        <w:ind w:left="0" w:leftChars="0" w:right="0" w:rightChars="0" w:firstLine="640" w:firstLineChars="200"/>
        <w:jc w:val="left"/>
        <w:textAlignment w:val="auto"/>
        <w:outlineLvl w:val="9"/>
        <w:rPr>
          <w:rFonts w:hint="eastAsia" w:ascii="仿宋_GB2312" w:hAnsi="宋体" w:eastAsia="仿宋_GB2312" w:cs="Times New Roman"/>
          <w:bCs/>
          <w:sz w:val="32"/>
          <w:szCs w:val="32"/>
          <w:lang w:val="zh-TW"/>
        </w:rPr>
      </w:pPr>
      <w:r>
        <w:rPr>
          <w:rFonts w:hint="eastAsia" w:ascii="仿宋_GB2312" w:hAnsi="宋体" w:eastAsia="仿宋_GB2312" w:cs="Times New Roman"/>
          <w:bCs/>
          <w:sz w:val="32"/>
          <w:szCs w:val="32"/>
          <w:lang w:val="zh-TW"/>
        </w:rPr>
        <w:t>本项目采用的评标方法是</w:t>
      </w:r>
      <w:r>
        <w:rPr>
          <w:rFonts w:hint="eastAsia" w:ascii="仿宋_GB2312" w:hAnsi="宋体" w:eastAsia="仿宋_GB2312" w:cs="Times New Roman"/>
          <w:b/>
          <w:sz w:val="32"/>
          <w:szCs w:val="32"/>
          <w:lang w:val="zh-TW"/>
        </w:rPr>
        <w:t>综合评分法</w:t>
      </w:r>
      <w:r>
        <w:rPr>
          <w:rFonts w:hint="eastAsia" w:ascii="仿宋_GB2312" w:hAnsi="宋体" w:eastAsia="仿宋_GB2312" w:cs="Times New Roman"/>
          <w:bCs/>
          <w:sz w:val="32"/>
          <w:szCs w:val="32"/>
          <w:lang w:val="zh-TW"/>
        </w:rPr>
        <w:t>。即在最大限度地满足招标文件实质性要求前提下，按照招标文件中规定的各项因素进行量化打分，以评标总得分最高的投标供应商作为中标候选供应商或中标供应商的评标方法。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仿宋_GB2312" w:cs="Times New Roman"/>
          <w:bCs/>
          <w:kern w:val="2"/>
          <w:sz w:val="32"/>
          <w:szCs w:val="32"/>
          <w:lang w:val="en-US" w:eastAsia="zh-CN"/>
        </w:rPr>
      </w:pPr>
      <w:r>
        <w:rPr>
          <w:rFonts w:hint="eastAsia" w:ascii="黑体" w:hAnsi="黑体" w:eastAsia="黑体" w:cs="仿宋"/>
          <w:kern w:val="2"/>
          <w:sz w:val="32"/>
          <w:szCs w:val="32"/>
          <w:lang w:val="en-US" w:eastAsia="zh-CN"/>
        </w:rPr>
        <w:t>五、投标文件</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仿宋_GB2312" w:cs="Times New Roman"/>
          <w:bCs/>
          <w:kern w:val="2"/>
          <w:sz w:val="32"/>
          <w:szCs w:val="32"/>
          <w:lang w:eastAsia="zh-CN"/>
        </w:rPr>
      </w:pPr>
      <w:r>
        <w:rPr>
          <w:rFonts w:hint="eastAsia" w:ascii="仿宋_GB2312" w:hAnsi="宋体" w:eastAsia="仿宋_GB2312" w:cs="Times New Roman"/>
          <w:bCs/>
          <w:kern w:val="2"/>
          <w:sz w:val="32"/>
          <w:szCs w:val="32"/>
        </w:rPr>
        <w:t>投标函（详见附件</w:t>
      </w:r>
      <w:r>
        <w:rPr>
          <w:rFonts w:hint="default" w:ascii="仿宋_GB2312" w:hAnsi="宋体" w:eastAsia="仿宋_GB2312" w:cs="Times New Roman"/>
          <w:bCs/>
          <w:kern w:val="2"/>
          <w:sz w:val="32"/>
          <w:szCs w:val="32"/>
          <w:lang w:val="en"/>
        </w:rPr>
        <w:t>2</w:t>
      </w:r>
      <w:r>
        <w:rPr>
          <w:rFonts w:hint="eastAsia" w:ascii="仿宋_GB2312" w:hAnsi="宋体" w:eastAsia="仿宋_GB2312" w:cs="Times New Roman"/>
          <w:bCs/>
          <w:kern w:val="2"/>
          <w:sz w:val="32"/>
          <w:szCs w:val="32"/>
        </w:rPr>
        <w:t>）</w:t>
      </w:r>
      <w:r>
        <w:rPr>
          <w:rFonts w:hint="eastAsia" w:ascii="仿宋_GB2312" w:hAnsi="宋体" w:eastAsia="仿宋_GB2312" w:cs="Times New Roman"/>
          <w:bCs/>
          <w:kern w:val="2"/>
          <w:sz w:val="32"/>
          <w:szCs w:val="32"/>
          <w:lang w:eastAsia="zh-CN"/>
        </w:rPr>
        <w:t>；</w:t>
      </w:r>
    </w:p>
    <w:p>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jc w:val="left"/>
        <w:textAlignment w:val="auto"/>
        <w:outlineLvl w:val="9"/>
        <w:rPr>
          <w:rFonts w:hint="eastAsia"/>
          <w:lang w:eastAsia="zh-CN"/>
        </w:rPr>
      </w:pPr>
      <w:r>
        <w:rPr>
          <w:rFonts w:hint="eastAsia" w:ascii="仿宋_GB2312" w:hAnsi="宋体" w:eastAsia="仿宋_GB2312" w:cs="Times New Roman"/>
          <w:bCs/>
          <w:sz w:val="32"/>
          <w:szCs w:val="32"/>
          <w:lang w:eastAsia="zh-CN"/>
        </w:rPr>
        <w:t>（二）营业执照复印件；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宋体" w:eastAsia="仿宋_GB2312" w:cs="Times New Roman"/>
          <w:bCs/>
          <w:kern w:val="2"/>
          <w:sz w:val="32"/>
          <w:szCs w:val="32"/>
        </w:rPr>
      </w:pPr>
      <w:r>
        <w:rPr>
          <w:rFonts w:hint="eastAsia" w:ascii="仿宋_GB2312" w:hAnsi="宋体" w:eastAsia="仿宋_GB2312" w:cs="Times New Roman"/>
          <w:bCs/>
          <w:kern w:val="2"/>
          <w:sz w:val="32"/>
          <w:szCs w:val="32"/>
          <w:lang w:eastAsia="zh-CN"/>
        </w:rPr>
        <w:t>（三）</w:t>
      </w:r>
      <w:r>
        <w:rPr>
          <w:rFonts w:hint="eastAsia" w:ascii="仿宋_GB2312" w:hAnsi="宋体" w:eastAsia="仿宋_GB2312" w:cs="Times New Roman"/>
          <w:bCs/>
          <w:kern w:val="2"/>
          <w:sz w:val="32"/>
          <w:szCs w:val="32"/>
        </w:rPr>
        <w:t>法定代表人资格证明书及法人身份证复印件</w:t>
      </w:r>
      <w:r>
        <w:rPr>
          <w:rFonts w:hint="eastAsia" w:ascii="仿宋_GB2312" w:hAnsi="宋体" w:eastAsia="仿宋_GB2312" w:cs="Times New Roman"/>
          <w:bCs/>
          <w:kern w:val="2"/>
          <w:sz w:val="32"/>
          <w:szCs w:val="32"/>
          <w:lang w:eastAsia="zh-CN"/>
        </w:rPr>
        <w:t>（须加盖</w:t>
      </w:r>
      <w:r>
        <w:rPr>
          <w:rFonts w:hint="eastAsia" w:ascii="仿宋_GB2312" w:hAnsi="宋体" w:eastAsia="仿宋_GB2312"/>
          <w:bCs/>
          <w:sz w:val="32"/>
          <w:szCs w:val="32"/>
        </w:rPr>
        <w:t>加投标人公章</w:t>
      </w:r>
      <w:r>
        <w:rPr>
          <w:rFonts w:hint="eastAsia" w:ascii="仿宋_GB2312" w:hAnsi="宋体" w:eastAsia="仿宋_GB2312" w:cs="Times New Roman"/>
          <w:bCs/>
          <w:kern w:val="2"/>
          <w:sz w:val="32"/>
          <w:szCs w:val="32"/>
          <w:lang w:eastAsia="zh-CN"/>
        </w:rPr>
        <w:t>）</w:t>
      </w:r>
      <w:r>
        <w:rPr>
          <w:rFonts w:hint="eastAsia" w:ascii="仿宋_GB2312" w:hAnsi="宋体" w:eastAsia="仿宋_GB2312" w:cs="Times New Roman"/>
          <w:bCs/>
          <w:kern w:val="2"/>
          <w:sz w:val="32"/>
          <w:szCs w:val="32"/>
        </w:rPr>
        <w:t>，或法定代表人授权委托书及被委托人身份证复印件</w:t>
      </w:r>
      <w:r>
        <w:rPr>
          <w:rFonts w:hint="eastAsia" w:ascii="仿宋_GB2312" w:hAnsi="宋体" w:eastAsia="仿宋_GB2312" w:cs="Times New Roman"/>
          <w:bCs/>
          <w:kern w:val="2"/>
          <w:sz w:val="32"/>
          <w:szCs w:val="32"/>
          <w:lang w:eastAsia="zh-CN"/>
        </w:rPr>
        <w:t>（须加盖</w:t>
      </w:r>
      <w:r>
        <w:rPr>
          <w:rFonts w:hint="eastAsia" w:ascii="仿宋_GB2312" w:hAnsi="宋体" w:eastAsia="仿宋_GB2312" w:cs="Times New Roman"/>
          <w:bCs/>
          <w:kern w:val="2"/>
          <w:sz w:val="32"/>
          <w:szCs w:val="32"/>
        </w:rPr>
        <w:t>加投标人公章</w:t>
      </w:r>
      <w:r>
        <w:rPr>
          <w:rFonts w:hint="eastAsia" w:ascii="仿宋_GB2312" w:hAnsi="宋体" w:eastAsia="仿宋_GB2312" w:cs="Times New Roman"/>
          <w:bCs/>
          <w:kern w:val="2"/>
          <w:sz w:val="32"/>
          <w:szCs w:val="32"/>
          <w:lang w:eastAsia="zh-CN"/>
        </w:rPr>
        <w:t>）</w:t>
      </w:r>
      <w:r>
        <w:rPr>
          <w:rFonts w:hint="eastAsia" w:ascii="仿宋_GB2312" w:hAnsi="宋体" w:eastAsia="仿宋_GB2312" w:cs="Times New Roman"/>
          <w:bCs/>
          <w:kern w:val="2"/>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宋体" w:eastAsia="仿宋_GB2312" w:cs="Times New Roman"/>
          <w:bCs/>
          <w:kern w:val="2"/>
          <w:sz w:val="32"/>
          <w:szCs w:val="32"/>
        </w:rPr>
      </w:pPr>
      <w:r>
        <w:rPr>
          <w:rFonts w:hint="eastAsia" w:ascii="仿宋_GB2312" w:hAnsi="宋体" w:eastAsia="仿宋_GB2312" w:cs="Times New Roman"/>
          <w:bCs/>
          <w:kern w:val="2"/>
          <w:sz w:val="32"/>
          <w:szCs w:val="32"/>
          <w:lang w:eastAsia="zh-CN"/>
        </w:rPr>
        <w:t>（四）</w:t>
      </w:r>
      <w:r>
        <w:rPr>
          <w:rFonts w:hint="eastAsia" w:ascii="仿宋_GB2312" w:hAnsi="宋体" w:eastAsia="仿宋_GB2312" w:cs="Times New Roman"/>
          <w:bCs/>
          <w:kern w:val="2"/>
          <w:sz w:val="32"/>
          <w:szCs w:val="32"/>
        </w:rPr>
        <w:t>报价函（详见附件</w:t>
      </w:r>
      <w:r>
        <w:rPr>
          <w:rFonts w:hint="default" w:ascii="仿宋_GB2312" w:hAnsi="宋体" w:eastAsia="仿宋_GB2312" w:cs="Times New Roman"/>
          <w:bCs/>
          <w:kern w:val="2"/>
          <w:sz w:val="32"/>
          <w:szCs w:val="32"/>
          <w:lang w:val="en"/>
        </w:rPr>
        <w:t>3</w:t>
      </w:r>
      <w:r>
        <w:rPr>
          <w:rFonts w:hint="eastAsia" w:ascii="仿宋_GB2312" w:hAnsi="宋体" w:eastAsia="仿宋_GB2312" w:cs="Times New Roman"/>
          <w:bCs/>
          <w:kern w:val="2"/>
          <w:sz w:val="32"/>
          <w:szCs w:val="32"/>
        </w:rPr>
        <w:t>）；</w:t>
      </w:r>
    </w:p>
    <w:p>
      <w:pPr>
        <w:pStyle w:val="2"/>
        <w:ind w:firstLine="640" w:firstLineChars="200"/>
        <w:rPr>
          <w:rFonts w:hint="eastAsia" w:ascii="仿宋_GB2312" w:hAnsi="宋体" w:eastAsia="仿宋_GB2312" w:cs="Times New Roman"/>
          <w:bCs/>
          <w:kern w:val="2"/>
          <w:sz w:val="32"/>
          <w:szCs w:val="32"/>
          <w:lang w:eastAsia="zh-CN"/>
        </w:rPr>
      </w:pPr>
      <w:r>
        <w:rPr>
          <w:rFonts w:hint="eastAsia" w:ascii="仿宋_GB2312" w:hAnsi="宋体" w:eastAsia="仿宋_GB2312" w:cs="Times New Roman"/>
          <w:bCs/>
          <w:kern w:val="2"/>
          <w:sz w:val="32"/>
          <w:szCs w:val="32"/>
          <w:lang w:eastAsia="zh-CN"/>
        </w:rPr>
        <w:t>（五）同类项目业绩证明文件；</w:t>
      </w:r>
    </w:p>
    <w:p>
      <w:pPr>
        <w:pStyle w:val="2"/>
        <w:ind w:firstLine="640" w:firstLineChars="200"/>
        <w:rPr>
          <w:rFonts w:hint="eastAsia" w:ascii="仿宋_GB2312" w:hAnsi="宋体" w:eastAsia="仿宋_GB2312" w:cs="Times New Roman"/>
          <w:bCs/>
          <w:kern w:val="2"/>
          <w:sz w:val="32"/>
          <w:szCs w:val="32"/>
          <w:lang w:eastAsia="zh-CN"/>
        </w:rPr>
      </w:pPr>
      <w:r>
        <w:rPr>
          <w:rFonts w:hint="eastAsia" w:ascii="仿宋_GB2312" w:hAnsi="宋体" w:eastAsia="仿宋_GB2312" w:cs="Times New Roman"/>
          <w:bCs/>
          <w:kern w:val="2"/>
          <w:sz w:val="32"/>
          <w:szCs w:val="32"/>
          <w:lang w:eastAsia="zh-CN"/>
        </w:rPr>
        <w:t>（六）培训服务方案（含整个培训行程具体安排）；</w:t>
      </w:r>
    </w:p>
    <w:p>
      <w:pPr>
        <w:pStyle w:val="2"/>
        <w:ind w:firstLine="640" w:firstLineChars="200"/>
        <w:rPr>
          <w:rFonts w:hint="eastAsia" w:ascii="仿宋_GB2312" w:hAnsi="仿宋_GB2312" w:eastAsia="仿宋_GB2312" w:cs="仿宋_GB2312"/>
          <w:b w:val="0"/>
          <w:bCs/>
          <w:sz w:val="32"/>
          <w:szCs w:val="32"/>
          <w:lang w:eastAsia="zh-CN"/>
        </w:rPr>
      </w:pPr>
      <w:r>
        <w:rPr>
          <w:rFonts w:hint="eastAsia" w:ascii="仿宋_GB2312" w:hAnsi="宋体" w:eastAsia="仿宋_GB2312" w:cs="Times New Roman"/>
          <w:bCs/>
          <w:sz w:val="32"/>
          <w:szCs w:val="32"/>
          <w:lang w:eastAsia="zh-CN"/>
        </w:rPr>
        <w:t>（七）项目</w:t>
      </w:r>
      <w:r>
        <w:rPr>
          <w:rFonts w:hint="eastAsia" w:ascii="仿宋_GB2312" w:hAnsi="仿宋_GB2312" w:eastAsia="仿宋_GB2312" w:cs="仿宋_GB2312"/>
          <w:b w:val="0"/>
          <w:bCs/>
          <w:sz w:val="32"/>
          <w:szCs w:val="32"/>
        </w:rPr>
        <w:t>团队</w:t>
      </w:r>
      <w:r>
        <w:rPr>
          <w:rFonts w:hint="eastAsia" w:ascii="仿宋_GB2312" w:hAnsi="仿宋_GB2312" w:eastAsia="仿宋_GB2312" w:cs="仿宋_GB2312"/>
          <w:b w:val="0"/>
          <w:bCs/>
          <w:sz w:val="32"/>
          <w:szCs w:val="32"/>
          <w:lang w:eastAsia="zh-CN"/>
        </w:rPr>
        <w:t>人</w:t>
      </w:r>
      <w:r>
        <w:rPr>
          <w:rFonts w:hint="eastAsia" w:ascii="仿宋_GB2312" w:hAnsi="仿宋_GB2312" w:eastAsia="仿宋_GB2312" w:cs="仿宋_GB2312"/>
          <w:b w:val="0"/>
          <w:bCs/>
          <w:sz w:val="32"/>
          <w:szCs w:val="32"/>
        </w:rPr>
        <w:t>员配</w:t>
      </w:r>
      <w:r>
        <w:rPr>
          <w:rFonts w:hint="eastAsia" w:ascii="仿宋_GB2312" w:hAnsi="仿宋_GB2312" w:eastAsia="仿宋_GB2312" w:cs="仿宋_GB2312"/>
          <w:b w:val="0"/>
          <w:bCs/>
          <w:sz w:val="32"/>
          <w:szCs w:val="32"/>
          <w:lang w:eastAsia="zh-CN"/>
        </w:rPr>
        <w:t>置（含团队配备人数、专业背景、工作经验、分工情况）；</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宋体" w:eastAsia="仿宋_GB2312" w:cs="Times New Roman"/>
          <w:bCs/>
          <w:sz w:val="32"/>
          <w:szCs w:val="32"/>
          <w:lang w:eastAsia="zh-CN"/>
        </w:rPr>
        <w:t>（八）《</w:t>
      </w:r>
      <w:r>
        <w:rPr>
          <w:rFonts w:hint="eastAsia" w:ascii="仿宋_GB2312" w:hAnsi="宋体" w:eastAsia="仿宋_GB2312" w:cs="Times New Roman"/>
          <w:bCs/>
          <w:kern w:val="2"/>
          <w:sz w:val="32"/>
          <w:szCs w:val="32"/>
        </w:rPr>
        <w:t>无违法违规情况承诺函》（详见附件</w:t>
      </w:r>
      <w:r>
        <w:rPr>
          <w:rFonts w:hint="eastAsia" w:ascii="仿宋_GB2312" w:hAnsi="宋体" w:eastAsia="仿宋_GB2312" w:cs="Times New Roman"/>
          <w:bCs/>
          <w:kern w:val="2"/>
          <w:sz w:val="32"/>
          <w:szCs w:val="32"/>
          <w:lang w:val="en-US" w:eastAsia="zh-CN"/>
        </w:rPr>
        <w:t>4</w:t>
      </w:r>
      <w:r>
        <w:rPr>
          <w:rFonts w:hint="eastAsia" w:ascii="仿宋_GB2312" w:hAnsi="宋体" w:eastAsia="仿宋_GB2312" w:cs="Times New Roman"/>
          <w:bCs/>
          <w:kern w:val="2"/>
          <w:sz w:val="32"/>
          <w:szCs w:val="32"/>
        </w:rPr>
        <w:t>）</w:t>
      </w:r>
      <w:r>
        <w:rPr>
          <w:rFonts w:hint="eastAsia" w:ascii="仿宋_GB2312" w:hAnsi="宋体" w:eastAsia="仿宋_GB2312" w:cs="Times New Roman"/>
          <w:bCs/>
          <w:kern w:val="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宋体" w:eastAsia="仿宋_GB2312" w:cs="Times New Roman"/>
          <w:bCs/>
          <w:kern w:val="2"/>
          <w:sz w:val="32"/>
          <w:szCs w:val="32"/>
          <w:lang w:val="en-US" w:eastAsia="zh-CN"/>
        </w:rPr>
      </w:pPr>
      <w:r>
        <w:rPr>
          <w:rFonts w:hint="eastAsia" w:ascii="仿宋_GB2312" w:hAnsi="黑体" w:eastAsia="仿宋_GB2312" w:cs="Times New Roman"/>
          <w:kern w:val="2"/>
          <w:sz w:val="32"/>
          <w:szCs w:val="32"/>
          <w:lang w:val="en-US" w:eastAsia="zh-CN" w:bidi="ar-SA"/>
        </w:rPr>
        <w:t>（九）政府采购违法行为风险知悉确认书</w:t>
      </w:r>
      <w:r>
        <w:rPr>
          <w:rFonts w:hint="default" w:ascii="仿宋_GB2312" w:hAnsi="黑体" w:eastAsia="仿宋_GB2312" w:cs="Times New Roman"/>
          <w:kern w:val="2"/>
          <w:sz w:val="32"/>
          <w:szCs w:val="32"/>
          <w:lang w:val="en" w:eastAsia="zh-CN" w:bidi="ar-SA"/>
        </w:rPr>
        <w:t>,坪山区进一步规范政商交往行为倡议</w:t>
      </w:r>
      <w:r>
        <w:rPr>
          <w:rFonts w:hint="eastAsia" w:ascii="仿宋_GB2312" w:hAnsi="黑体" w:eastAsia="仿宋_GB2312" w:cs="Times New Roman"/>
          <w:kern w:val="2"/>
          <w:sz w:val="32"/>
          <w:szCs w:val="32"/>
          <w:lang w:val="en" w:eastAsia="zh-CN" w:bidi="ar-SA"/>
        </w:rPr>
        <w:t>书</w:t>
      </w:r>
      <w:r>
        <w:rPr>
          <w:rFonts w:hint="default" w:ascii="仿宋_GB2312" w:hAnsi="黑体" w:eastAsia="仿宋_GB2312" w:cs="Times New Roman"/>
          <w:kern w:val="2"/>
          <w:sz w:val="32"/>
          <w:szCs w:val="32"/>
          <w:lang w:val="en" w:eastAsia="zh-CN" w:bidi="ar-SA"/>
        </w:rPr>
        <w:t>,</w:t>
      </w:r>
      <w:r>
        <w:rPr>
          <w:rFonts w:hint="eastAsia" w:ascii="仿宋_GB2312" w:hAnsi="黑体" w:eastAsia="仿宋_GB2312" w:cs="Times New Roman"/>
          <w:kern w:val="2"/>
          <w:sz w:val="32"/>
          <w:szCs w:val="32"/>
          <w:lang w:val="en-US" w:eastAsia="zh-CN" w:bidi="ar-SA"/>
        </w:rPr>
        <w:t>企业信用信息报告</w:t>
      </w:r>
      <w:r>
        <w:rPr>
          <w:rFonts w:hint="eastAsia" w:ascii="仿宋_GB2312" w:hAnsi="宋体" w:eastAsia="仿宋_GB2312" w:cs="Times New Roman"/>
          <w:bCs/>
          <w:kern w:val="2"/>
          <w:sz w:val="32"/>
          <w:szCs w:val="32"/>
        </w:rPr>
        <w:t>（详见附件</w:t>
      </w:r>
      <w:r>
        <w:rPr>
          <w:rFonts w:hint="eastAsia" w:ascii="仿宋_GB2312" w:hAnsi="宋体" w:eastAsia="仿宋_GB2312" w:cs="Times New Roman"/>
          <w:bCs/>
          <w:kern w:val="2"/>
          <w:sz w:val="32"/>
          <w:szCs w:val="32"/>
          <w:lang w:val="en-US" w:eastAsia="zh-CN"/>
        </w:rPr>
        <w:t>5</w:t>
      </w:r>
      <w:r>
        <w:rPr>
          <w:rFonts w:hint="default" w:ascii="仿宋_GB2312" w:hAnsi="宋体" w:eastAsia="仿宋_GB2312" w:cs="Times New Roman"/>
          <w:bCs/>
          <w:kern w:val="2"/>
          <w:sz w:val="32"/>
          <w:szCs w:val="32"/>
          <w:lang w:val="en"/>
        </w:rPr>
        <w:t>.</w:t>
      </w:r>
      <w:r>
        <w:rPr>
          <w:rFonts w:hint="eastAsia" w:ascii="仿宋_GB2312" w:hAnsi="宋体" w:eastAsia="仿宋_GB2312" w:cs="Times New Roman"/>
          <w:bCs/>
          <w:kern w:val="2"/>
          <w:sz w:val="32"/>
          <w:szCs w:val="32"/>
          <w:lang w:val="en-US" w:eastAsia="zh-CN"/>
        </w:rPr>
        <w:t>6</w:t>
      </w:r>
      <w:r>
        <w:rPr>
          <w:rFonts w:hint="default" w:ascii="仿宋_GB2312" w:hAnsi="宋体" w:eastAsia="仿宋_GB2312" w:cs="Times New Roman"/>
          <w:bCs/>
          <w:kern w:val="2"/>
          <w:sz w:val="32"/>
          <w:szCs w:val="32"/>
          <w:lang w:val="en"/>
        </w:rPr>
        <w:t>.</w:t>
      </w:r>
      <w:r>
        <w:rPr>
          <w:rFonts w:hint="eastAsia" w:ascii="仿宋_GB2312" w:hAnsi="宋体" w:eastAsia="仿宋_GB2312" w:cs="Times New Roman"/>
          <w:bCs/>
          <w:kern w:val="2"/>
          <w:sz w:val="32"/>
          <w:szCs w:val="32"/>
          <w:lang w:val="en-US" w:eastAsia="zh-CN"/>
        </w:rPr>
        <w:t>7</w:t>
      </w:r>
      <w:r>
        <w:rPr>
          <w:rFonts w:hint="eastAsia" w:ascii="仿宋_GB2312" w:hAnsi="宋体" w:eastAsia="仿宋_GB2312" w:cs="Times New Roman"/>
          <w:bCs/>
          <w:kern w:val="2"/>
          <w:sz w:val="32"/>
          <w:szCs w:val="32"/>
        </w:rPr>
        <w:t>）</w:t>
      </w:r>
      <w:r>
        <w:rPr>
          <w:rFonts w:hint="default" w:ascii="仿宋_GB2312" w:hAnsi="黑体" w:eastAsia="仿宋_GB2312" w:cs="Times New Roman"/>
          <w:kern w:val="2"/>
          <w:sz w:val="32"/>
          <w:szCs w:val="32"/>
          <w:lang w:val="e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 w:eastAsia="仿宋_GB2312" w:cs="宋体"/>
          <w:kern w:val="0"/>
          <w:sz w:val="32"/>
          <w:szCs w:val="32"/>
          <w:lang w:val="en-US" w:eastAsia="zh-CN"/>
        </w:rPr>
      </w:pPr>
      <w:r>
        <w:rPr>
          <w:rFonts w:hint="eastAsia" w:ascii="仿宋_GB2312" w:hAnsi="宋体" w:eastAsia="仿宋_GB2312" w:cs="Times New Roman"/>
          <w:bCs/>
          <w:kern w:val="2"/>
          <w:sz w:val="32"/>
          <w:szCs w:val="32"/>
          <w:lang w:eastAsia="zh-CN"/>
        </w:rPr>
        <w:t>（十）</w:t>
      </w:r>
      <w:r>
        <w:rPr>
          <w:rFonts w:hint="eastAsia" w:ascii="仿宋_GB2312" w:hAnsi="宋体" w:eastAsia="仿宋_GB2312" w:cs="Times New Roman"/>
          <w:bCs/>
          <w:kern w:val="2"/>
          <w:sz w:val="32"/>
          <w:szCs w:val="32"/>
        </w:rPr>
        <w:t>其他投标文件（若投标人有需要提交的其他资料）。</w:t>
      </w:r>
    </w:p>
    <w:p>
      <w:pPr>
        <w:keepNext w:val="0"/>
        <w:keepLines w:val="0"/>
        <w:pageBreakBefore w:val="0"/>
        <w:widowControl/>
        <w:kinsoku/>
        <w:wordWrap/>
        <w:overflowPunct/>
        <w:topLinePunct w:val="0"/>
        <w:autoSpaceDE/>
        <w:autoSpaceDN/>
        <w:bidi w:val="0"/>
        <w:spacing w:after="0" w:line="560" w:lineRule="exact"/>
        <w:ind w:firstLine="640" w:firstLineChars="200"/>
        <w:jc w:val="left"/>
        <w:textAlignment w:val="auto"/>
        <w:rPr>
          <w:rFonts w:ascii="黑体" w:hAnsi="黑体" w:eastAsia="黑体"/>
          <w:sz w:val="32"/>
          <w:szCs w:val="32"/>
        </w:rPr>
      </w:pPr>
      <w:r>
        <w:rPr>
          <w:rFonts w:hint="eastAsia" w:ascii="黑体" w:hAnsi="黑体" w:eastAsia="黑体" w:cs="仿宋"/>
          <w:kern w:val="2"/>
          <w:sz w:val="32"/>
          <w:szCs w:val="32"/>
          <w:lang w:val="zh-TW" w:eastAsia="zh-CN"/>
        </w:rPr>
        <w:t>六、</w:t>
      </w:r>
      <w:r>
        <w:rPr>
          <w:rFonts w:hint="eastAsia" w:ascii="黑体" w:hAnsi="黑体" w:eastAsia="黑体"/>
          <w:sz w:val="32"/>
          <w:szCs w:val="32"/>
        </w:rPr>
        <w:t>投标文件的编写及封装要求</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1．投标文件应中文编写，A4纸打印，按照招标文件规定格式填写。所有文件均须加盖公章，并加盖骑缝章。投标人应提交投标文件</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套。</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2．投标文件必须密封，在外层包封封口处应予密封加盖投标人单位公章。</w:t>
      </w:r>
    </w:p>
    <w:p>
      <w:pPr>
        <w:pStyle w:val="13"/>
        <w:spacing w:line="560" w:lineRule="exact"/>
        <w:ind w:firstLine="640"/>
        <w:rPr>
          <w:rFonts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、付款方式</w:t>
      </w:r>
    </w:p>
    <w:p>
      <w:pPr>
        <w:pStyle w:val="13"/>
        <w:spacing w:line="560" w:lineRule="exact"/>
        <w:ind w:firstLine="640"/>
        <w:rPr>
          <w:rFonts w:hint="eastAsia"/>
          <w:lang w:val="zh-TW"/>
        </w:rPr>
      </w:pPr>
      <w:r>
        <w:rPr>
          <w:rFonts w:hint="eastAsia" w:ascii="仿宋_GB2312" w:hAnsi="宋体" w:eastAsia="仿宋_GB2312"/>
          <w:bCs/>
          <w:color w:val="auto"/>
          <w:sz w:val="32"/>
          <w:szCs w:val="32"/>
        </w:rPr>
        <w:t>根据双方签订的合同相关条款执行。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黑体" w:hAnsi="黑体" w:eastAsia="黑体" w:cs="仿宋"/>
          <w:kern w:val="2"/>
          <w:sz w:val="32"/>
          <w:szCs w:val="32"/>
          <w:lang w:val="zh-TW"/>
        </w:rPr>
      </w:pPr>
      <w:r>
        <w:rPr>
          <w:rFonts w:hint="eastAsia" w:ascii="黑体" w:hAnsi="黑体" w:eastAsia="黑体" w:cs="仿宋"/>
          <w:kern w:val="2"/>
          <w:sz w:val="32"/>
          <w:szCs w:val="32"/>
          <w:lang w:val="zh-TW" w:eastAsia="zh-CN"/>
        </w:rPr>
        <w:t>八</w:t>
      </w:r>
      <w:r>
        <w:rPr>
          <w:rFonts w:hint="eastAsia" w:ascii="黑体" w:hAnsi="黑体" w:eastAsia="黑体" w:cs="仿宋"/>
          <w:kern w:val="2"/>
          <w:sz w:val="32"/>
          <w:szCs w:val="32"/>
          <w:lang w:val="zh-TW"/>
        </w:rPr>
        <w:t>、违约责任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1、中标方未能按合同约定时间完成合同义务的，应承担违约责任。每逾期一日，按合同暂定价的2%向甲方支付违约金。逾期超过五日的，中标方除向招标方支付上述违约金外，还应按本合同暂定价的20%向甲方支付违约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2、中标方未经招标方书面同意，将本合同项下的任务进行转包或分包，招标方有权解除本合同，且中标方除应返还招标方支付的所有合同款项外，还应承担合同暂定价20%的违约金。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3、中标方签订合同后拒绝或不及时履行合同义务，招标方有权终止合同并要求中标方承担合同暂定价20%的违约金。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zh-TW"/>
        </w:rPr>
      </w:pPr>
      <w:r>
        <w:rPr>
          <w:rFonts w:hint="eastAsia" w:ascii="黑体" w:hAnsi="黑体" w:eastAsia="黑体" w:cs="黑体"/>
          <w:kern w:val="2"/>
          <w:sz w:val="32"/>
          <w:szCs w:val="32"/>
          <w:lang w:val="zh-TW" w:eastAsia="zh-CN"/>
        </w:rPr>
        <w:t>九</w:t>
      </w:r>
      <w:r>
        <w:rPr>
          <w:rFonts w:hint="eastAsia" w:ascii="黑体" w:hAnsi="黑体" w:eastAsia="黑体" w:cs="黑体"/>
          <w:kern w:val="2"/>
          <w:sz w:val="32"/>
          <w:szCs w:val="32"/>
          <w:lang w:val="zh-TW"/>
        </w:rPr>
        <w:t xml:space="preserve">、投标文件的递交及评标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r>
        <w:rPr>
          <w:rFonts w:hint="eastAsia" w:ascii="仿宋_GB2312" w:hAnsi="黑体" w:eastAsia="仿宋_GB2312"/>
          <w:color w:val="auto"/>
          <w:sz w:val="32"/>
          <w:szCs w:val="32"/>
          <w:lang w:val="en-US" w:eastAsia="zh-CN"/>
        </w:rPr>
        <w:t>获取招标文件时间</w:t>
      </w:r>
      <w:r>
        <w:rPr>
          <w:rFonts w:hint="eastAsia" w:ascii="黑体" w:hAnsi="黑体" w:eastAsia="黑体"/>
          <w:sz w:val="32"/>
          <w:szCs w:val="32"/>
        </w:rPr>
        <w:t>：</w:t>
      </w:r>
      <w:r>
        <w:rPr>
          <w:rFonts w:hint="eastAsia" w:ascii="仿宋_GB2312" w:hAnsi="宋体" w:eastAsia="仿宋_GB2312"/>
          <w:sz w:val="32"/>
          <w:szCs w:val="32"/>
          <w:lang w:eastAsia="zh-TW"/>
        </w:rPr>
        <w:t>20</w:t>
      </w:r>
      <w:r>
        <w:rPr>
          <w:rFonts w:hint="eastAsia" w:ascii="仿宋_GB2312" w:hAnsi="宋体" w:eastAsia="仿宋_GB2312"/>
          <w:sz w:val="32"/>
          <w:szCs w:val="32"/>
        </w:rPr>
        <w:t>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TW"/>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TW"/>
        </w:rPr>
        <w:t>月</w:t>
      </w:r>
      <w:r>
        <w:rPr>
          <w:rFonts w:hint="eastAsia" w:ascii="仿宋_GB2312" w:hAnsi="宋体" w:eastAsia="仿宋_GB2312"/>
          <w:sz w:val="32"/>
          <w:szCs w:val="32"/>
          <w:lang w:val="en-US" w:eastAsia="zh-CN"/>
        </w:rPr>
        <w:t>24</w:t>
      </w:r>
      <w:r>
        <w:rPr>
          <w:rFonts w:hint="eastAsia" w:ascii="仿宋_GB2312" w:hAnsi="宋体" w:eastAsia="仿宋_GB2312"/>
          <w:sz w:val="32"/>
          <w:szCs w:val="32"/>
          <w:lang w:eastAsia="zh-TW"/>
        </w:rPr>
        <w:t>日</w:t>
      </w:r>
      <w:r>
        <w:rPr>
          <w:rFonts w:hint="eastAsia" w:ascii="仿宋_GB2312" w:hAnsi="宋体" w:eastAsia="仿宋_GB2312"/>
          <w:sz w:val="32"/>
          <w:szCs w:val="32"/>
          <w:lang w:val="en-US" w:eastAsia="zh-CN"/>
        </w:rPr>
        <w:t>18：30</w:t>
      </w:r>
      <w:r>
        <w:rPr>
          <w:rFonts w:hint="eastAsia" w:ascii="仿宋_GB2312" w:hAnsi="宋体" w:eastAsia="仿宋_GB2312"/>
          <w:sz w:val="32"/>
          <w:szCs w:val="32"/>
        </w:rPr>
        <w:t>-</w:t>
      </w:r>
      <w:r>
        <w:rPr>
          <w:rFonts w:hint="default" w:ascii="仿宋_GB2312" w:hAnsi="宋体" w:eastAsia="仿宋_GB2312"/>
          <w:sz w:val="32"/>
          <w:szCs w:val="32"/>
          <w:lang w:val="en" w:eastAsia="zh-TW"/>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TW"/>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TW"/>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TW"/>
        </w:rPr>
        <w:t>日</w:t>
      </w:r>
      <w:r>
        <w:rPr>
          <w:rFonts w:hint="eastAsia" w:ascii="仿宋_GB2312" w:hAnsi="宋体" w:eastAsia="仿宋_GB2312"/>
          <w:sz w:val="32"/>
          <w:szCs w:val="32"/>
          <w:lang w:val="en-US" w:eastAsia="zh-CN"/>
        </w:rPr>
        <w:t>18：30（北京时间）。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val="zh-TW"/>
        </w:rPr>
        <w:t>.投标文件递交截止时间：</w:t>
      </w:r>
      <w:r>
        <w:rPr>
          <w:rFonts w:hint="eastAsia" w:ascii="仿宋_GB2312" w:hAnsi="仿宋_GB2312" w:eastAsia="仿宋_GB2312" w:cs="仿宋_GB2312"/>
          <w:kern w:val="2"/>
          <w:sz w:val="32"/>
          <w:szCs w:val="32"/>
          <w:highlight w:val="none"/>
          <w:lang w:val="zh-TW"/>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val="zh-TW"/>
        </w:rPr>
        <w:t>年</w:t>
      </w:r>
      <w:r>
        <w:rPr>
          <w:rFonts w:hint="eastAsia" w:ascii="仿宋_GB2312" w:hAnsi="仿宋_GB2312" w:eastAsia="仿宋_GB2312" w:cs="仿宋_GB2312"/>
          <w:kern w:val="2"/>
          <w:sz w:val="32"/>
          <w:szCs w:val="32"/>
          <w:highlight w:val="none"/>
          <w:lang w:val="en-US" w:eastAsia="zh-CN"/>
        </w:rPr>
        <w:t>7</w:t>
      </w:r>
      <w:r>
        <w:rPr>
          <w:rFonts w:hint="eastAsia" w:ascii="仿宋_GB2312" w:hAnsi="仿宋_GB2312" w:eastAsia="仿宋_GB2312" w:cs="仿宋_GB2312"/>
          <w:kern w:val="2"/>
          <w:sz w:val="32"/>
          <w:szCs w:val="32"/>
          <w:highlight w:val="none"/>
          <w:lang w:val="zh-TW"/>
        </w:rPr>
        <w:t>月</w:t>
      </w:r>
      <w:r>
        <w:rPr>
          <w:rFonts w:hint="eastAsia" w:ascii="仿宋_GB2312" w:hAnsi="仿宋_GB2312" w:eastAsia="仿宋_GB2312" w:cs="仿宋_GB2312"/>
          <w:kern w:val="2"/>
          <w:sz w:val="32"/>
          <w:szCs w:val="32"/>
          <w:highlight w:val="none"/>
          <w:lang w:val="en-US" w:eastAsia="zh-CN"/>
        </w:rPr>
        <w:t>1</w:t>
      </w:r>
      <w:r>
        <w:rPr>
          <w:rFonts w:hint="eastAsia" w:ascii="仿宋_GB2312" w:hAnsi="仿宋_GB2312" w:eastAsia="仿宋_GB2312" w:cs="仿宋_GB2312"/>
          <w:kern w:val="2"/>
          <w:sz w:val="32"/>
          <w:szCs w:val="32"/>
          <w:highlight w:val="none"/>
          <w:lang w:val="zh-TW"/>
        </w:rPr>
        <w:t>日1</w:t>
      </w:r>
      <w:r>
        <w:rPr>
          <w:rFonts w:hint="eastAsia" w:ascii="仿宋_GB2312" w:hAnsi="仿宋_GB2312" w:eastAsia="仿宋_GB2312" w:cs="仿宋_GB2312"/>
          <w:kern w:val="2"/>
          <w:sz w:val="32"/>
          <w:szCs w:val="32"/>
          <w:highlight w:val="none"/>
          <w:lang w:val="en-US" w:eastAsia="zh-CN"/>
        </w:rPr>
        <w:t>8</w:t>
      </w:r>
      <w:r>
        <w:rPr>
          <w:rFonts w:hint="eastAsia" w:ascii="仿宋_GB2312" w:hAnsi="仿宋_GB2312" w:eastAsia="仿宋_GB2312" w:cs="仿宋_GB2312"/>
          <w:kern w:val="2"/>
          <w:sz w:val="32"/>
          <w:szCs w:val="32"/>
          <w:highlight w:val="none"/>
          <w:lang w:val="zh-TW"/>
        </w:rPr>
        <w:t>:</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lang w:val="zh-TW"/>
        </w:rPr>
        <w:t>0</w:t>
      </w:r>
      <w:r>
        <w:rPr>
          <w:rFonts w:hint="eastAsia" w:ascii="仿宋_GB2312" w:hAnsi="宋体" w:eastAsia="仿宋_GB2312"/>
          <w:sz w:val="32"/>
          <w:szCs w:val="32"/>
          <w:lang w:val="en-US" w:eastAsia="zh-CN"/>
        </w:rPr>
        <w:t>（北京时间）</w:t>
      </w:r>
      <w:r>
        <w:rPr>
          <w:rFonts w:hint="eastAsia" w:ascii="仿宋_GB2312" w:hAnsi="仿宋_GB2312" w:eastAsia="仿宋_GB2312" w:cs="仿宋_GB2312"/>
          <w:kern w:val="2"/>
          <w:sz w:val="32"/>
          <w:szCs w:val="32"/>
          <w:lang w:val="zh-TW"/>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val="zh-TW"/>
        </w:rPr>
        <w:t>.</w:t>
      </w:r>
      <w:r>
        <w:rPr>
          <w:rFonts w:hint="eastAsia" w:ascii="仿宋_GB2312" w:hAnsi="黑体" w:eastAsia="仿宋_GB2312"/>
          <w:sz w:val="32"/>
          <w:szCs w:val="32"/>
        </w:rPr>
        <w:t>投标文件</w:t>
      </w:r>
      <w:bookmarkStart w:id="0" w:name="_Hlk6235462"/>
      <w:r>
        <w:rPr>
          <w:rFonts w:hint="eastAsia" w:ascii="仿宋_GB2312" w:hAnsi="仿宋_GB2312" w:eastAsia="仿宋_GB2312" w:cs="仿宋_GB2312"/>
          <w:sz w:val="32"/>
          <w:szCs w:val="32"/>
        </w:rPr>
        <w:t>现场递交或邮寄地址：深圳市坪山区坪山大道</w:t>
      </w: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333号区委大楼2</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室</w:t>
      </w:r>
      <w:r>
        <w:rPr>
          <w:rFonts w:hint="eastAsia" w:ascii="仿宋_GB2312" w:hAnsi="黑体" w:eastAsia="仿宋_GB2312"/>
          <w:sz w:val="32"/>
          <w:szCs w:val="32"/>
        </w:rPr>
        <w:t>，联系人：</w:t>
      </w:r>
      <w:bookmarkEnd w:id="0"/>
      <w:r>
        <w:rPr>
          <w:rFonts w:hint="eastAsia" w:ascii="仿宋_GB2312" w:hAnsi="仿宋_GB2312" w:eastAsia="仿宋_GB2312" w:cs="仿宋_GB2312"/>
          <w:kern w:val="2"/>
          <w:sz w:val="32"/>
          <w:szCs w:val="32"/>
          <w:lang w:val="zh-TW"/>
        </w:rPr>
        <w:t>联系人：</w:t>
      </w:r>
      <w:r>
        <w:rPr>
          <w:rFonts w:hint="eastAsia" w:ascii="仿宋_GB2312" w:hAnsi="仿宋_GB2312" w:eastAsia="仿宋_GB2312" w:cs="仿宋_GB2312"/>
          <w:kern w:val="2"/>
          <w:sz w:val="32"/>
          <w:szCs w:val="32"/>
          <w:lang w:val="zh-TW" w:eastAsia="zh-CN"/>
        </w:rPr>
        <w:t>汪先生</w:t>
      </w:r>
      <w:r>
        <w:rPr>
          <w:rFonts w:hint="eastAsia" w:ascii="仿宋_GB2312" w:hAnsi="仿宋_GB2312" w:eastAsia="仿宋_GB2312" w:cs="仿宋_GB2312"/>
          <w:kern w:val="2"/>
          <w:sz w:val="32"/>
          <w:szCs w:val="32"/>
          <w:lang w:val="zh-TW"/>
        </w:rPr>
        <w:t>，电话：</w:t>
      </w:r>
      <w:r>
        <w:rPr>
          <w:rFonts w:hint="eastAsia" w:ascii="仿宋_GB2312" w:hAnsi="仿宋_GB2312" w:eastAsia="仿宋_GB2312" w:cs="仿宋_GB2312"/>
          <w:kern w:val="2"/>
          <w:sz w:val="32"/>
          <w:szCs w:val="32"/>
          <w:lang w:val="en-US" w:eastAsia="zh-CN"/>
        </w:rPr>
        <w:t>0755-89217360</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val="zh-TW"/>
        </w:rPr>
        <w:t>.评审地点：深圳市坪山区坪山大道</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val="zh-TW"/>
        </w:rPr>
        <w:t>333号</w:t>
      </w:r>
      <w:r>
        <w:rPr>
          <w:rFonts w:hint="eastAsia" w:ascii="仿宋_GB2312" w:hAnsi="仿宋_GB2312" w:eastAsia="仿宋_GB2312" w:cs="仿宋_GB2312"/>
          <w:sz w:val="32"/>
          <w:szCs w:val="32"/>
        </w:rPr>
        <w:t>区委大楼</w:t>
      </w:r>
      <w:r>
        <w:rPr>
          <w:rFonts w:hint="eastAsia" w:ascii="仿宋_GB2312" w:hAnsi="仿宋_GB2312" w:eastAsia="仿宋_GB2312" w:cs="仿宋_GB2312"/>
          <w:kern w:val="2"/>
          <w:sz w:val="32"/>
          <w:szCs w:val="32"/>
          <w:lang w:val="zh-TW"/>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val="zh-TW"/>
        </w:rPr>
        <w:t>.投标人务必认真阅读招标文件的内容，按照招标文件的格式和内容要求编制投标文件，在规定时间内投标。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附件：1.评分标准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2.投标函</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3.报价函</w:t>
      </w:r>
    </w:p>
    <w:p>
      <w:pPr>
        <w:pStyle w:val="2"/>
        <w:rPr>
          <w:rFonts w:hint="default" w:eastAsia="仿宋_GB2312"/>
          <w:lang w:val="en-US" w:eastAsia="zh-CN"/>
        </w:rPr>
      </w:pPr>
      <w:r>
        <w:rPr>
          <w:rFonts w:hint="eastAsia" w:ascii="仿宋_GB2312" w:hAnsi="仿宋_GB2312" w:eastAsia="仿宋_GB2312" w:cs="仿宋_GB2312"/>
          <w:kern w:val="2"/>
          <w:sz w:val="32"/>
          <w:szCs w:val="32"/>
          <w:lang w:val="en-US" w:eastAsia="zh-CN"/>
        </w:rPr>
        <w:t xml:space="preserve">          4.</w:t>
      </w:r>
      <w:r>
        <w:rPr>
          <w:rFonts w:hint="eastAsia" w:ascii="仿宋_GB2312" w:hAnsi="宋体" w:eastAsia="仿宋_GB2312" w:cs="Times New Roman"/>
          <w:bCs/>
          <w:kern w:val="2"/>
          <w:sz w:val="32"/>
          <w:szCs w:val="32"/>
        </w:rPr>
        <w:t>无违法违规情况承诺函</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1600" w:firstLineChars="5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宋体" w:eastAsia="仿宋_GB2312"/>
          <w:bCs/>
          <w:sz w:val="32"/>
          <w:szCs w:val="32"/>
          <w:lang w:val="en-US" w:eastAsia="zh-CN"/>
        </w:rPr>
        <w:t>5.</w:t>
      </w:r>
      <w:r>
        <w:rPr>
          <w:rFonts w:hint="eastAsia" w:ascii="仿宋_GB2312" w:hAnsi="黑体" w:eastAsia="仿宋_GB2312" w:cs="Times New Roman"/>
          <w:kern w:val="2"/>
          <w:sz w:val="32"/>
          <w:szCs w:val="32"/>
          <w:lang w:val="en-US" w:eastAsia="zh-CN" w:bidi="ar-SA"/>
        </w:rPr>
        <w:t>政府采购违法行为风险知悉确认书</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1600" w:firstLineChars="500"/>
        <w:jc w:val="both"/>
        <w:textAlignment w:val="auto"/>
        <w:rPr>
          <w:rFonts w:hint="default" w:ascii="仿宋_GB2312" w:hAnsi="黑体" w:eastAsia="仿宋_GB2312" w:cs="Times New Roman"/>
          <w:kern w:val="2"/>
          <w:sz w:val="32"/>
          <w:szCs w:val="32"/>
          <w:lang w:val="en" w:eastAsia="zh-CN" w:bidi="ar-SA"/>
        </w:rPr>
      </w:pPr>
      <w:r>
        <w:rPr>
          <w:rFonts w:hint="eastAsia" w:ascii="仿宋_GB2312" w:hAnsi="黑体" w:eastAsia="仿宋_GB2312" w:cs="Times New Roman"/>
          <w:kern w:val="2"/>
          <w:sz w:val="32"/>
          <w:szCs w:val="32"/>
          <w:lang w:val="en-US" w:eastAsia="zh-CN" w:bidi="ar-SA"/>
        </w:rPr>
        <w:t>6</w:t>
      </w:r>
      <w:r>
        <w:rPr>
          <w:rFonts w:hint="default" w:ascii="仿宋_GB2312" w:hAnsi="黑体" w:eastAsia="仿宋_GB2312" w:cs="Times New Roman"/>
          <w:kern w:val="2"/>
          <w:sz w:val="32"/>
          <w:szCs w:val="32"/>
          <w:lang w:val="en" w:eastAsia="zh-CN" w:bidi="ar-SA"/>
        </w:rPr>
        <w:t>.坪山区进一步规范政商交往行为倡议</w:t>
      </w:r>
      <w:r>
        <w:rPr>
          <w:rFonts w:hint="eastAsia" w:ascii="仿宋_GB2312" w:hAnsi="黑体" w:eastAsia="仿宋_GB2312" w:cs="Times New Roman"/>
          <w:kern w:val="2"/>
          <w:sz w:val="32"/>
          <w:szCs w:val="32"/>
          <w:lang w:val="en" w:eastAsia="zh-CN" w:bidi="ar-SA"/>
        </w:rPr>
        <w:t>书</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1600" w:firstLineChars="500"/>
        <w:jc w:val="both"/>
        <w:textAlignment w:val="auto"/>
        <w:rPr>
          <w:rFonts w:hint="default"/>
          <w:lang w:val="en"/>
        </w:rPr>
      </w:pPr>
      <w:r>
        <w:rPr>
          <w:rFonts w:hint="eastAsia" w:ascii="仿宋_GB2312" w:hAnsi="黑体" w:eastAsia="仿宋_GB2312" w:cs="Times New Roman"/>
          <w:kern w:val="2"/>
          <w:sz w:val="32"/>
          <w:szCs w:val="32"/>
          <w:lang w:val="en-US" w:eastAsia="zh-CN" w:bidi="ar-SA"/>
        </w:rPr>
        <w:t>7.企业信用信息报告</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rFonts w:hint="eastAsia" w:ascii="仿宋_GB2312" w:hAnsi="仿宋_GB2312" w:eastAsia="仿宋_GB2312" w:cs="仿宋_GB2312"/>
          <w:kern w:val="2"/>
          <w:sz w:val="32"/>
          <w:szCs w:val="32"/>
          <w:lang w:val="zh-TW"/>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3680" w:firstLineChars="115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 xml:space="preserve">深圳市坪山区人大常委会办公室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TW"/>
        </w:rPr>
      </w:pPr>
      <w:r>
        <w:rPr>
          <w:rFonts w:hint="eastAsia" w:ascii="仿宋_GB2312" w:hAnsi="仿宋_GB2312" w:eastAsia="仿宋_GB2312" w:cs="仿宋_GB2312"/>
          <w:kern w:val="2"/>
          <w:sz w:val="32"/>
          <w:szCs w:val="32"/>
          <w:lang w:val="zh-TW"/>
        </w:rPr>
        <w:t xml:space="preserve">                          20</w:t>
      </w:r>
      <w:r>
        <w:rPr>
          <w:rFonts w:hint="eastAsia" w:ascii="仿宋_GB2312" w:hAnsi="仿宋_GB2312" w:eastAsia="仿宋_GB2312" w:cs="仿宋_GB2312"/>
          <w:kern w:val="2"/>
          <w:sz w:val="32"/>
          <w:szCs w:val="32"/>
          <w:lang w:val="en-US" w:eastAsia="zh-CN"/>
        </w:rPr>
        <w:t>24</w:t>
      </w:r>
      <w:r>
        <w:rPr>
          <w:rFonts w:hint="eastAsia" w:ascii="仿宋_GB2312" w:hAnsi="仿宋_GB2312" w:eastAsia="仿宋_GB2312" w:cs="仿宋_GB2312"/>
          <w:kern w:val="2"/>
          <w:sz w:val="32"/>
          <w:szCs w:val="32"/>
          <w:lang w:val="zh-TW"/>
        </w:rPr>
        <w:t>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val="zh-TW"/>
        </w:rPr>
        <w:t>月</w:t>
      </w:r>
      <w:r>
        <w:rPr>
          <w:rFonts w:hint="eastAsia" w:ascii="仿宋_GB2312" w:hAnsi="仿宋_GB2312" w:eastAsia="仿宋_GB2312" w:cs="仿宋_GB2312"/>
          <w:kern w:val="2"/>
          <w:sz w:val="32"/>
          <w:szCs w:val="32"/>
          <w:lang w:val="en-US" w:eastAsia="zh-CN"/>
        </w:rPr>
        <w:t>24</w:t>
      </w:r>
      <w:r>
        <w:rPr>
          <w:rFonts w:hint="eastAsia" w:ascii="仿宋_GB2312" w:hAnsi="仿宋_GB2312" w:eastAsia="仿宋_GB2312" w:cs="仿宋_GB2312"/>
          <w:kern w:val="2"/>
          <w:sz w:val="32"/>
          <w:szCs w:val="32"/>
          <w:lang w:val="zh-TW"/>
        </w:rPr>
        <w:t>日</w:t>
      </w:r>
    </w:p>
    <w:p>
      <w:pPr>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br w:type="page"/>
      </w:r>
    </w:p>
    <w:p>
      <w:pPr>
        <w:keepNext w:val="0"/>
        <w:keepLines w:val="0"/>
        <w:pageBreakBefore w:val="0"/>
        <w:kinsoku/>
        <w:wordWrap/>
        <w:overflowPunct/>
        <w:topLinePunct w:val="0"/>
        <w:bidi w:val="0"/>
        <w:spacing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kinsoku/>
        <w:wordWrap/>
        <w:overflowPunct/>
        <w:topLinePunct w:val="0"/>
        <w:bidi w:val="0"/>
        <w:spacing w:line="560" w:lineRule="exact"/>
        <w:jc w:val="center"/>
        <w:textAlignment w:val="auto"/>
        <w:outlineLvl w:val="9"/>
        <w:rPr>
          <w:rFonts w:hint="eastAsia" w:ascii="方正小标宋简体" w:hAnsi="宋体" w:eastAsia="方正小标宋简体"/>
          <w:bCs/>
          <w:sz w:val="44"/>
          <w:szCs w:val="44"/>
        </w:rPr>
      </w:pPr>
      <w:r>
        <w:rPr>
          <w:rFonts w:hint="eastAsia" w:ascii="方正小标宋简体" w:hAnsi="宋体" w:eastAsia="方正小标宋简体"/>
          <w:bCs/>
          <w:sz w:val="44"/>
          <w:szCs w:val="44"/>
        </w:rPr>
        <w:t xml:space="preserve">评分标准 </w:t>
      </w:r>
    </w:p>
    <w:tbl>
      <w:tblPr>
        <w:tblStyle w:val="10"/>
        <w:tblpPr w:leftFromText="180" w:rightFromText="180" w:vertAnchor="text" w:tblpXSpec="center" w:tblpY="1"/>
        <w:tblOverlap w:val="never"/>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20"/>
        <w:gridCol w:w="810"/>
        <w:gridCol w:w="438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679" w:type="dxa"/>
            <w:gridSpan w:val="5"/>
            <w:vAlign w:val="center"/>
          </w:tcPr>
          <w:p>
            <w:pPr>
              <w:keepNext w:val="0"/>
              <w:keepLines w:val="0"/>
              <w:pageBreakBefore w:val="0"/>
              <w:kinsoku/>
              <w:wordWrap/>
              <w:overflowPunct/>
              <w:topLinePunct w:val="0"/>
              <w:bidi w:val="0"/>
              <w:snapToGrid w:val="0"/>
              <w:spacing w:line="560" w:lineRule="exact"/>
              <w:jc w:val="center"/>
              <w:textAlignment w:val="auto"/>
              <w:rPr>
                <w:rFonts w:hint="eastAsia" w:ascii="宋体" w:hAnsi="宋体"/>
                <w:sz w:val="22"/>
              </w:rPr>
            </w:pPr>
            <w:r>
              <w:rPr>
                <w:rFonts w:hint="eastAsia" w:ascii="宋体" w:hAnsi="宋体"/>
                <w:sz w:val="22"/>
                <w:szCs w:val="22"/>
              </w:rPr>
              <w:t>评分项及评分规则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69"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序号</w:t>
            </w:r>
          </w:p>
        </w:tc>
        <w:tc>
          <w:tcPr>
            <w:tcW w:w="72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内容</w:t>
            </w:r>
          </w:p>
        </w:tc>
        <w:tc>
          <w:tcPr>
            <w:tcW w:w="81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权重</w:t>
            </w:r>
          </w:p>
        </w:tc>
        <w:tc>
          <w:tcPr>
            <w:tcW w:w="438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评分规则</w:t>
            </w:r>
          </w:p>
        </w:tc>
        <w:tc>
          <w:tcPr>
            <w:tcW w:w="1200" w:type="dxa"/>
            <w:vAlign w:val="center"/>
          </w:tcPr>
          <w:p>
            <w:pPr>
              <w:keepNext w:val="0"/>
              <w:keepLines w:val="0"/>
              <w:pageBreakBefore w:val="0"/>
              <w:kinsoku/>
              <w:wordWrap/>
              <w:overflowPunct/>
              <w:topLinePunct w:val="0"/>
              <w:bidi w:val="0"/>
              <w:snapToGrid w:val="0"/>
              <w:spacing w:line="560" w:lineRule="exact"/>
              <w:textAlignment w:val="auto"/>
              <w:rPr>
                <w:rFonts w:hint="eastAsia" w:ascii="仿宋_GB2312" w:hAnsi="黑体" w:eastAsia="仿宋_GB2312"/>
                <w:sz w:val="24"/>
                <w:szCs w:val="24"/>
              </w:rPr>
            </w:pPr>
            <w:r>
              <w:rPr>
                <w:rFonts w:hint="eastAsia" w:ascii="宋体" w:hAnsi="宋体"/>
                <w:sz w:val="22"/>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1</w:t>
            </w:r>
          </w:p>
        </w:tc>
        <w:tc>
          <w:tcPr>
            <w:tcW w:w="72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价格</w:t>
            </w:r>
          </w:p>
        </w:tc>
        <w:tc>
          <w:tcPr>
            <w:tcW w:w="81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hint="default" w:ascii="仿宋_GB2312" w:hAnsi="黑体" w:eastAsia="仿宋_GB2312"/>
                <w:sz w:val="24"/>
                <w:szCs w:val="24"/>
                <w:lang w:val="en-US"/>
              </w:rPr>
            </w:pPr>
            <w:r>
              <w:rPr>
                <w:rFonts w:hint="eastAsia" w:ascii="仿宋_GB2312" w:hAnsi="黑体" w:eastAsia="仿宋_GB2312"/>
                <w:sz w:val="24"/>
                <w:szCs w:val="24"/>
                <w:lang w:val="en-US" w:eastAsia="zh-CN"/>
              </w:rPr>
              <w:t>30</w:t>
            </w:r>
          </w:p>
        </w:tc>
        <w:tc>
          <w:tcPr>
            <w:tcW w:w="4380" w:type="dxa"/>
            <w:vAlign w:val="top"/>
          </w:tcPr>
          <w:p>
            <w:pPr>
              <w:keepNext w:val="0"/>
              <w:keepLines w:val="0"/>
              <w:pageBreakBefore w:val="0"/>
              <w:kinsoku/>
              <w:wordWrap/>
              <w:overflowPunct/>
              <w:topLinePunct w:val="0"/>
              <w:autoSpaceDE/>
              <w:autoSpaceDN/>
              <w:bidi w:val="0"/>
              <w:snapToGrid w:val="0"/>
              <w:spacing w:after="0" w:line="560" w:lineRule="exact"/>
              <w:textAlignment w:val="auto"/>
              <w:rPr>
                <w:rFonts w:ascii="仿宋_GB2312" w:hAnsi="黑体" w:eastAsia="仿宋_GB2312"/>
                <w:sz w:val="24"/>
                <w:szCs w:val="24"/>
              </w:rPr>
            </w:pPr>
            <w:r>
              <w:rPr>
                <w:rFonts w:hint="eastAsia" w:ascii="仿宋_GB2312" w:hAnsi="黑体" w:eastAsia="仿宋_GB2312"/>
                <w:sz w:val="24"/>
                <w:szCs w:val="24"/>
              </w:rPr>
              <w:t>综合评分法中的价格分统一采用低价优先法计算，即满足招标文件要求且投标价格最低的投标报价为评标基准价，其价格分为满分。其他投标人的价格分统一按照下列公式计算：投标报价得分=（评标基准价值/投标报价）*权重</w:t>
            </w:r>
          </w:p>
        </w:tc>
        <w:tc>
          <w:tcPr>
            <w:tcW w:w="1200" w:type="dxa"/>
            <w:vAlign w:val="center"/>
          </w:tcPr>
          <w:p>
            <w:pPr>
              <w:keepNext w:val="0"/>
              <w:keepLines w:val="0"/>
              <w:pageBreakBefore w:val="0"/>
              <w:kinsoku/>
              <w:wordWrap/>
              <w:overflowPunct/>
              <w:topLinePunct w:val="0"/>
              <w:bidi w:val="0"/>
              <w:snapToGrid w:val="0"/>
              <w:spacing w:line="560" w:lineRule="exact"/>
              <w:jc w:val="center"/>
              <w:textAlignment w:val="auto"/>
              <w:rPr>
                <w:rFonts w:hint="eastAsia" w:ascii="仿宋_GB2312" w:hAnsi="黑体" w:eastAsia="仿宋_GB2312"/>
                <w:sz w:val="24"/>
                <w:szCs w:val="24"/>
              </w:rPr>
            </w:pPr>
            <w:r>
              <w:rPr>
                <w:rFonts w:hint="eastAsia" w:ascii="宋体" w:hAnsi="宋体"/>
                <w:sz w:val="22"/>
              </w:rPr>
              <w:t>评标小组评分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69"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ascii="仿宋_GB2312" w:hAnsi="黑体" w:eastAsia="仿宋_GB2312"/>
                <w:sz w:val="24"/>
                <w:szCs w:val="24"/>
              </w:rPr>
            </w:pPr>
            <w:r>
              <w:rPr>
                <w:rFonts w:hint="eastAsia" w:ascii="仿宋_GB2312" w:hAnsi="黑体" w:eastAsia="仿宋_GB2312"/>
                <w:sz w:val="24"/>
                <w:szCs w:val="24"/>
              </w:rPr>
              <w:t>2</w:t>
            </w:r>
          </w:p>
        </w:tc>
        <w:tc>
          <w:tcPr>
            <w:tcW w:w="72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方案</w:t>
            </w:r>
          </w:p>
        </w:tc>
        <w:tc>
          <w:tcPr>
            <w:tcW w:w="81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40</w:t>
            </w:r>
          </w:p>
        </w:tc>
        <w:tc>
          <w:tcPr>
            <w:tcW w:w="4380" w:type="dxa"/>
            <w:vAlign w:val="center"/>
          </w:tcPr>
          <w:p>
            <w:pPr>
              <w:keepNext w:val="0"/>
              <w:keepLines w:val="0"/>
              <w:pageBreakBefore w:val="0"/>
              <w:kinsoku/>
              <w:wordWrap/>
              <w:overflowPunct/>
              <w:topLinePunct w:val="0"/>
              <w:autoSpaceDE/>
              <w:autoSpaceDN/>
              <w:bidi w:val="0"/>
              <w:snapToGrid w:val="0"/>
              <w:spacing w:after="0" w:line="560" w:lineRule="exact"/>
              <w:textAlignment w:val="auto"/>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编制培训方案，5天培训班除开往返，共有6个半天，要求4个半天专题授课，2个半天现场教学或交流研讨。评分视培训总体安排、课程内容打分。</w:t>
            </w:r>
          </w:p>
        </w:tc>
        <w:tc>
          <w:tcPr>
            <w:tcW w:w="1200" w:type="dxa"/>
            <w:vAlign w:val="center"/>
          </w:tcPr>
          <w:p>
            <w:pPr>
              <w:keepNext w:val="0"/>
              <w:keepLines w:val="0"/>
              <w:pageBreakBefore w:val="0"/>
              <w:kinsoku/>
              <w:wordWrap/>
              <w:overflowPunct/>
              <w:topLinePunct w:val="0"/>
              <w:bidi w:val="0"/>
              <w:snapToGrid w:val="0"/>
              <w:spacing w:line="560" w:lineRule="exact"/>
              <w:jc w:val="center"/>
              <w:textAlignment w:val="auto"/>
              <w:rPr>
                <w:rFonts w:hint="eastAsia" w:ascii="仿宋_GB2312" w:hAnsi="黑体" w:eastAsia="仿宋_GB2312"/>
                <w:sz w:val="24"/>
                <w:szCs w:val="24"/>
                <w:lang w:val="en-US" w:eastAsia="zh-CN"/>
              </w:rPr>
            </w:pPr>
            <w:r>
              <w:rPr>
                <w:rFonts w:hint="eastAsia" w:ascii="宋体" w:hAnsi="宋体"/>
                <w:sz w:val="22"/>
              </w:rPr>
              <w:t>评标小组评分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569" w:type="dxa"/>
            <w:tcBorders>
              <w:bottom w:val="single" w:color="auto" w:sz="4" w:space="0"/>
            </w:tcBorders>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3</w:t>
            </w:r>
          </w:p>
        </w:tc>
        <w:tc>
          <w:tcPr>
            <w:tcW w:w="720" w:type="dxa"/>
            <w:vAlign w:val="center"/>
          </w:tcPr>
          <w:p>
            <w:pPr>
              <w:keepNext w:val="0"/>
              <w:keepLines w:val="0"/>
              <w:pageBreakBefore w:val="0"/>
              <w:kinsoku/>
              <w:wordWrap/>
              <w:overflowPunct/>
              <w:topLinePunct w:val="0"/>
              <w:autoSpaceDE/>
              <w:autoSpaceDN/>
              <w:bidi w:val="0"/>
              <w:snapToGrid w:val="0"/>
              <w:spacing w:after="0" w:line="560" w:lineRule="exact"/>
              <w:jc w:val="both"/>
              <w:textAlignment w:val="auto"/>
              <w:rPr>
                <w:rFonts w:hint="eastAsia" w:ascii="仿宋_GB2312" w:hAnsi="黑体" w:eastAsia="仿宋_GB2312"/>
                <w:sz w:val="24"/>
                <w:szCs w:val="24"/>
                <w:lang w:eastAsia="zh-CN"/>
              </w:rPr>
            </w:pPr>
            <w:r>
              <w:rPr>
                <w:rFonts w:hint="eastAsia" w:ascii="仿宋_GB2312" w:hAnsi="黑体" w:eastAsia="仿宋_GB2312"/>
                <w:sz w:val="24"/>
                <w:szCs w:val="24"/>
                <w:lang w:val="en-US" w:eastAsia="zh-CN"/>
              </w:rPr>
              <w:t>业绩</w:t>
            </w:r>
          </w:p>
        </w:tc>
        <w:tc>
          <w:tcPr>
            <w:tcW w:w="810" w:type="dxa"/>
            <w:vAlign w:val="center"/>
          </w:tcPr>
          <w:p>
            <w:pPr>
              <w:keepNext w:val="0"/>
              <w:keepLines w:val="0"/>
              <w:pageBreakBefore w:val="0"/>
              <w:kinsoku/>
              <w:wordWrap/>
              <w:overflowPunct/>
              <w:topLinePunct w:val="0"/>
              <w:autoSpaceDE/>
              <w:autoSpaceDN/>
              <w:bidi w:val="0"/>
              <w:snapToGrid w:val="0"/>
              <w:spacing w:after="0" w:line="560" w:lineRule="exact"/>
              <w:jc w:val="center"/>
              <w:textAlignment w:val="auto"/>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30</w:t>
            </w:r>
          </w:p>
        </w:tc>
        <w:tc>
          <w:tcPr>
            <w:tcW w:w="4380" w:type="dxa"/>
            <w:vAlign w:val="center"/>
          </w:tcPr>
          <w:p>
            <w:pPr>
              <w:keepNext w:val="0"/>
              <w:keepLines w:val="0"/>
              <w:pageBreakBefore w:val="0"/>
              <w:kinsoku/>
              <w:wordWrap/>
              <w:overflowPunct/>
              <w:topLinePunct w:val="0"/>
              <w:autoSpaceDE/>
              <w:autoSpaceDN/>
              <w:bidi w:val="0"/>
              <w:snapToGrid w:val="0"/>
              <w:spacing w:after="0" w:line="560" w:lineRule="exact"/>
              <w:textAlignment w:val="auto"/>
              <w:rPr>
                <w:rFonts w:hint="eastAsia" w:ascii="仿宋_GB2312" w:hAnsi="黑体" w:eastAsia="仿宋_GB2312"/>
                <w:sz w:val="24"/>
                <w:szCs w:val="24"/>
                <w:lang w:eastAsia="zh-CN"/>
              </w:rPr>
            </w:pPr>
            <w:r>
              <w:rPr>
                <w:rFonts w:hint="eastAsia" w:ascii="仿宋_GB2312" w:hAnsi="黑体" w:eastAsia="仿宋_GB2312"/>
                <w:sz w:val="24"/>
                <w:szCs w:val="24"/>
              </w:rPr>
              <w:t>投标人在本项目投标截止时间</w:t>
            </w:r>
            <w:r>
              <w:rPr>
                <w:rFonts w:hint="eastAsia" w:ascii="仿宋_GB2312" w:hAnsi="黑体" w:eastAsia="仿宋_GB2312"/>
                <w:sz w:val="24"/>
                <w:szCs w:val="24"/>
                <w:lang w:eastAsia="zh-CN"/>
              </w:rPr>
              <w:t>前五</w:t>
            </w:r>
            <w:r>
              <w:rPr>
                <w:rFonts w:hint="eastAsia" w:ascii="仿宋_GB2312" w:hAnsi="黑体" w:eastAsia="仿宋_GB2312"/>
                <w:sz w:val="24"/>
                <w:szCs w:val="24"/>
              </w:rPr>
              <w:t>年内，</w:t>
            </w:r>
            <w:r>
              <w:rPr>
                <w:rFonts w:hint="eastAsia" w:ascii="仿宋_GB2312" w:hAnsi="黑体" w:eastAsia="仿宋_GB2312"/>
                <w:sz w:val="24"/>
                <w:szCs w:val="24"/>
                <w:lang w:eastAsia="zh-CN"/>
              </w:rPr>
              <w:t>提供具有相似培训服务的</w:t>
            </w:r>
            <w:r>
              <w:rPr>
                <w:rFonts w:hint="eastAsia" w:ascii="仿宋_GB2312" w:hAnsi="黑体" w:eastAsia="仿宋_GB2312"/>
                <w:sz w:val="24"/>
                <w:szCs w:val="24"/>
                <w:lang w:val="en-US" w:eastAsia="zh-CN"/>
              </w:rPr>
              <w:t>3个业绩</w:t>
            </w:r>
            <w:r>
              <w:rPr>
                <w:rFonts w:hint="eastAsia" w:ascii="仿宋_GB2312" w:hAnsi="黑体" w:eastAsia="仿宋_GB2312"/>
                <w:sz w:val="24"/>
                <w:szCs w:val="24"/>
                <w:lang w:eastAsia="zh-CN"/>
              </w:rPr>
              <w:t>（如提供超过</w:t>
            </w:r>
            <w:r>
              <w:rPr>
                <w:rFonts w:hint="eastAsia" w:ascii="仿宋_GB2312" w:hAnsi="黑体" w:eastAsia="仿宋_GB2312"/>
                <w:sz w:val="24"/>
                <w:szCs w:val="24"/>
                <w:lang w:val="en-US" w:eastAsia="zh-CN"/>
              </w:rPr>
              <w:t>3个按最高分的3个计算总分</w:t>
            </w:r>
            <w:r>
              <w:rPr>
                <w:rFonts w:hint="eastAsia" w:ascii="仿宋_GB2312" w:hAnsi="黑体" w:eastAsia="仿宋_GB2312"/>
                <w:sz w:val="24"/>
                <w:szCs w:val="24"/>
                <w:lang w:eastAsia="zh-CN"/>
              </w:rPr>
              <w:t>）</w:t>
            </w:r>
            <w:r>
              <w:rPr>
                <w:rFonts w:hint="eastAsia" w:ascii="仿宋_GB2312" w:hAnsi="黑体" w:eastAsia="仿宋_GB2312"/>
                <w:sz w:val="24"/>
                <w:szCs w:val="24"/>
              </w:rPr>
              <w:t>，每个</w:t>
            </w:r>
            <w:r>
              <w:rPr>
                <w:rFonts w:hint="eastAsia" w:ascii="仿宋_GB2312" w:hAnsi="黑体" w:eastAsia="仿宋_GB2312"/>
                <w:sz w:val="24"/>
                <w:szCs w:val="24"/>
                <w:lang w:eastAsia="zh-CN"/>
              </w:rPr>
              <w:t>成绩按是否贴近需求最高</w:t>
            </w:r>
            <w:r>
              <w:rPr>
                <w:rFonts w:hint="eastAsia" w:ascii="仿宋_GB2312" w:hAnsi="黑体" w:eastAsia="仿宋_GB2312"/>
                <w:sz w:val="24"/>
                <w:szCs w:val="24"/>
              </w:rPr>
              <w:t>得</w:t>
            </w:r>
            <w:r>
              <w:rPr>
                <w:rFonts w:hint="eastAsia" w:ascii="仿宋_GB2312" w:hAnsi="黑体" w:eastAsia="仿宋_GB2312"/>
                <w:sz w:val="24"/>
                <w:szCs w:val="24"/>
                <w:lang w:val="en-US" w:eastAsia="zh-CN"/>
              </w:rPr>
              <w:t>10</w:t>
            </w:r>
            <w:r>
              <w:rPr>
                <w:rFonts w:hint="eastAsia" w:ascii="仿宋_GB2312" w:hAnsi="黑体" w:eastAsia="仿宋_GB2312"/>
                <w:sz w:val="24"/>
                <w:szCs w:val="24"/>
              </w:rPr>
              <w:t>分</w:t>
            </w:r>
            <w:r>
              <w:rPr>
                <w:rFonts w:hint="eastAsia" w:ascii="仿宋_GB2312" w:hAnsi="黑体" w:eastAsia="仿宋_GB2312"/>
                <w:sz w:val="24"/>
                <w:szCs w:val="24"/>
                <w:lang w:eastAsia="zh-CN"/>
              </w:rPr>
              <w:t>，</w:t>
            </w:r>
            <w:r>
              <w:rPr>
                <w:rFonts w:hint="eastAsia" w:ascii="仿宋_GB2312" w:hAnsi="黑体" w:eastAsia="仿宋_GB2312"/>
                <w:sz w:val="24"/>
                <w:szCs w:val="24"/>
              </w:rPr>
              <w:t>最多</w:t>
            </w:r>
            <w:r>
              <w:rPr>
                <w:rFonts w:hint="eastAsia" w:ascii="仿宋_GB2312" w:hAnsi="黑体" w:eastAsia="仿宋_GB2312"/>
                <w:sz w:val="24"/>
                <w:szCs w:val="24"/>
                <w:lang w:eastAsia="zh-CN"/>
              </w:rPr>
              <w:t>得</w:t>
            </w:r>
            <w:r>
              <w:rPr>
                <w:rFonts w:hint="eastAsia" w:ascii="仿宋_GB2312" w:hAnsi="黑体" w:eastAsia="仿宋_GB2312"/>
                <w:sz w:val="24"/>
                <w:szCs w:val="24"/>
                <w:lang w:val="en-US" w:eastAsia="zh-CN"/>
              </w:rPr>
              <w:t>3</w:t>
            </w:r>
            <w:r>
              <w:rPr>
                <w:rFonts w:hint="eastAsia" w:ascii="仿宋_GB2312" w:hAnsi="黑体" w:eastAsia="仿宋_GB2312"/>
                <w:sz w:val="24"/>
                <w:szCs w:val="24"/>
              </w:rPr>
              <w:t>0分。</w:t>
            </w:r>
          </w:p>
        </w:tc>
        <w:tc>
          <w:tcPr>
            <w:tcW w:w="1200" w:type="dxa"/>
            <w:vAlign w:val="center"/>
          </w:tcPr>
          <w:p>
            <w:pPr>
              <w:keepNext w:val="0"/>
              <w:keepLines w:val="0"/>
              <w:pageBreakBefore w:val="0"/>
              <w:kinsoku/>
              <w:wordWrap/>
              <w:overflowPunct/>
              <w:topLinePunct w:val="0"/>
              <w:bidi w:val="0"/>
              <w:snapToGrid w:val="0"/>
              <w:spacing w:line="560" w:lineRule="exact"/>
              <w:jc w:val="center"/>
              <w:textAlignment w:val="auto"/>
              <w:rPr>
                <w:rFonts w:hint="eastAsia" w:ascii="宋体" w:hAnsi="宋体"/>
                <w:sz w:val="22"/>
              </w:rPr>
            </w:pPr>
            <w:r>
              <w:rPr>
                <w:rFonts w:hint="eastAsia" w:ascii="宋体" w:hAnsi="宋体"/>
                <w:sz w:val="22"/>
              </w:rPr>
              <w:t>评标小组评分</w:t>
            </w:r>
          </w:p>
        </w:tc>
      </w:tr>
    </w:tbl>
    <w:p>
      <w:pPr>
        <w:keepNext w:val="0"/>
        <w:keepLines w:val="0"/>
        <w:pageBreakBefore w:val="0"/>
        <w:widowControl/>
        <w:kinsoku/>
        <w:wordWrap/>
        <w:overflowPunct/>
        <w:topLinePunct w:val="0"/>
        <w:bidi w:val="0"/>
        <w:spacing w:line="560" w:lineRule="exact"/>
        <w:jc w:val="center"/>
        <w:textAlignment w:val="auto"/>
        <w:outlineLvl w:val="9"/>
        <w:rPr>
          <w:rFonts w:hint="eastAsia" w:ascii="方正小标宋简体" w:hAnsi="宋体" w:eastAsia="方正小标宋简体"/>
          <w:bCs/>
          <w:sz w:val="44"/>
          <w:szCs w:val="44"/>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kinsoku/>
        <w:wordWrap/>
        <w:overflowPunct/>
        <w:topLinePunct w:val="0"/>
        <w:bidi w:val="0"/>
        <w:adjustRightInd w:val="0"/>
        <w:snapToGrid w:val="0"/>
        <w:spacing w:line="52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auto"/>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投标函</w:t>
      </w: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仿宋_GB2312" w:hAnsi="宋体" w:eastAsia="仿宋_GB2312"/>
          <w:color w:val="auto"/>
          <w:sz w:val="32"/>
          <w:szCs w:val="32"/>
        </w:rPr>
      </w:pPr>
      <w:r>
        <w:rPr>
          <w:rFonts w:hint="eastAsia" w:ascii="仿宋_GB2312" w:hAnsi="宋体" w:eastAsia="仿宋_GB2312"/>
          <w:color w:val="auto"/>
          <w:kern w:val="0"/>
          <w:sz w:val="32"/>
          <w:szCs w:val="32"/>
        </w:rPr>
        <w:t>致</w:t>
      </w:r>
      <w:r>
        <w:rPr>
          <w:rFonts w:hint="eastAsia" w:ascii="仿宋_GB2312" w:hAnsi="宋体" w:eastAsia="仿宋_GB2312"/>
          <w:color w:val="auto"/>
          <w:kern w:val="0"/>
          <w:sz w:val="32"/>
          <w:szCs w:val="32"/>
          <w:u w:val="single"/>
        </w:rPr>
        <w:t>深圳市坪山区人大常委会办公室</w:t>
      </w:r>
      <w:r>
        <w:rPr>
          <w:rFonts w:hint="eastAsia" w:ascii="仿宋_GB2312" w:hAnsi="宋体" w:eastAsia="仿宋_GB2312"/>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b/>
          <w:bCs/>
          <w:color w:val="auto"/>
          <w:sz w:val="32"/>
          <w:szCs w:val="32"/>
          <w:u w:val="single"/>
        </w:rPr>
      </w:pPr>
      <w:r>
        <w:rPr>
          <w:rFonts w:hint="eastAsia" w:ascii="仿宋_GB2312" w:hAnsi="仿宋_GB2312" w:eastAsia="仿宋_GB2312" w:cs="仿宋_GB2312"/>
          <w:color w:val="auto"/>
          <w:sz w:val="32"/>
          <w:szCs w:val="32"/>
        </w:rPr>
        <w:t>根据已收到贵方的</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u w:val="single"/>
        </w:rPr>
        <w:t>坪山区人大代表及人大系统工作人员培训服务招标采购需求》</w:t>
      </w:r>
      <w:r>
        <w:rPr>
          <w:rFonts w:hint="eastAsia" w:ascii="仿宋_GB2312" w:hAnsi="仿宋_GB2312" w:eastAsia="仿宋_GB2312" w:cs="仿宋_GB2312"/>
          <w:color w:val="auto"/>
          <w:sz w:val="32"/>
          <w:szCs w:val="32"/>
        </w:rPr>
        <w:t>，我单位经研究上述招标文件后，我方愿以招标文件前附表规定的标准，接受贵方招标文件所提出的任务要求。</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我方同意并接受招标文件的各项要求，包括澄清、修改、补充文件（如有时）及有关附件，对招标文件的要求完全理解。遵守招标文件中的各项规定，按招标文件的要求投标，提供相应投标文件（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套正本，4套副本）。</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我方保证按招标文件的要求，理性报价，不以低于成本的报价竞标。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我方认同招标文件规定的评审规则，遵守评标委员会的裁决结果，并且不会采取妨碍项目进展的行为，同时清楚理解到参与投标并非意味着必定获得成交资格。</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同意所递交的投标文件在招标文件规定的投标有效期限内有效，在此期间内我方的投标有可能中标，我方将受此约束。若我单位成为中标候选人，投标有效期延长至项目验收之日。如果在投标有效期内撤回投标或放弃中标资格，我方自行承担相应后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如果我方中标，我方保证按照招标文件规定的时间完成任务，保证严格执行与招标人签署的服务合同，履行相应责任和义务。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承诺在本次投标中提供的一切文件，无论是原件还是复印件均为真实和准确的，绝无任何虚假、伪造和夸大的成份。若评定标过程中查有虚假，同意作无效或废标处理；若中标之后查有虚假，同意被废除授标。我方愿承担相应的后果和法律责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在正式合同签署并生效之前，贵方的中标通知书和本投标函将成为约束双方的合同文件的组成部分。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与本投标</w:t>
      </w:r>
      <w:r>
        <w:rPr>
          <w:rFonts w:hint="eastAsia" w:ascii="仿宋_GB2312" w:hAnsi="仿宋_GB2312" w:eastAsia="仿宋_GB2312" w:cs="仿宋_GB2312"/>
          <w:color w:val="auto"/>
          <w:sz w:val="32"/>
          <w:szCs w:val="32"/>
          <w:lang w:eastAsia="zh-CN"/>
        </w:rPr>
        <w:t>响</w:t>
      </w:r>
      <w:r>
        <w:rPr>
          <w:rFonts w:hint="eastAsia" w:ascii="仿宋_GB2312" w:hAnsi="仿宋_GB2312" w:eastAsia="仿宋_GB2312" w:cs="仿宋_GB2312"/>
          <w:color w:val="auto"/>
          <w:sz w:val="32"/>
          <w:szCs w:val="32"/>
        </w:rPr>
        <w:t>应有关的一切正式往来通讯请寄：</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地址：</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邮编</w:t>
      </w:r>
      <w:r>
        <w:rPr>
          <w:rFonts w:hint="eastAsia" w:ascii="仿宋_GB2312" w:hAnsi="宋体" w:eastAsia="仿宋_GB2312"/>
          <w:color w:val="auto"/>
          <w:sz w:val="32"/>
          <w:szCs w:val="32"/>
          <w:u w:val="single"/>
        </w:rPr>
        <w:t>：</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40" w:lineRule="exact"/>
        <w:ind w:left="360" w:hanging="360"/>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联系人：</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电话：</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40" w:lineRule="exact"/>
        <w:ind w:left="360" w:hanging="360"/>
        <w:textAlignment w:val="auto"/>
        <w:rPr>
          <w:rFonts w:ascii="仿宋_GB2312" w:hAnsi="宋体" w:eastAsia="仿宋_GB2312"/>
          <w:color w:val="auto"/>
          <w:sz w:val="32"/>
          <w:szCs w:val="32"/>
        </w:rPr>
      </w:pPr>
      <w:r>
        <w:rPr>
          <w:rFonts w:ascii="仿宋_GB2312" w:hAnsi="宋体" w:eastAsia="仿宋_GB2312"/>
          <w:color w:val="auto"/>
          <w:sz w:val="32"/>
          <w:szCs w:val="32"/>
        </w:rPr>
        <w:t xml:space="preserve">    投标人全称：</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（盖公章）</w:t>
      </w:r>
    </w:p>
    <w:p>
      <w:pPr>
        <w:keepNext w:val="0"/>
        <w:keepLines w:val="0"/>
        <w:pageBreakBefore w:val="0"/>
        <w:widowControl/>
        <w:kinsoku/>
        <w:wordWrap/>
        <w:overflowPunct/>
        <w:topLinePunct w:val="0"/>
        <w:autoSpaceDE/>
        <w:autoSpaceDN/>
        <w:bidi w:val="0"/>
        <w:adjustRightInd w:val="0"/>
        <w:snapToGrid w:val="0"/>
        <w:spacing w:line="540" w:lineRule="exact"/>
        <w:ind w:left="360" w:hanging="360"/>
        <w:textAlignment w:val="auto"/>
        <w:rPr>
          <w:rFonts w:ascii="仿宋_GB2312" w:hAnsi="宋体" w:eastAsia="仿宋_GB2312"/>
          <w:color w:val="auto"/>
          <w:sz w:val="32"/>
          <w:szCs w:val="32"/>
          <w:u w:val="single"/>
        </w:rPr>
      </w:pPr>
      <w:r>
        <w:rPr>
          <w:rFonts w:ascii="仿宋_GB2312" w:hAnsi="宋体" w:eastAsia="仿宋_GB2312"/>
          <w:color w:val="auto"/>
          <w:sz w:val="32"/>
          <w:szCs w:val="32"/>
        </w:rPr>
        <w:t xml:space="preserve">    法定代表人（或负责人）或授权代表（签字）：</w:t>
      </w:r>
      <w:r>
        <w:rPr>
          <w:rFonts w:ascii="仿宋_GB2312" w:hAnsi="宋体" w:eastAsia="仿宋_GB2312"/>
          <w:color w:val="auto"/>
          <w:sz w:val="32"/>
          <w:szCs w:val="32"/>
          <w:u w:val="single"/>
        </w:rPr>
        <w:t xml:space="preserve">             </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日期：</w:t>
      </w:r>
      <w:r>
        <w:rPr>
          <w:rFonts w:ascii="仿宋_GB2312" w:hAnsi="宋体" w:eastAsia="仿宋_GB2312"/>
          <w:color w:val="auto"/>
          <w:sz w:val="32"/>
          <w:szCs w:val="32"/>
          <w:u w:val="single"/>
        </w:rPr>
        <w:t xml:space="preserve">     </w:t>
      </w:r>
      <w:r>
        <w:rPr>
          <w:rFonts w:ascii="仿宋_GB2312" w:hAnsi="宋体" w:eastAsia="仿宋_GB2312"/>
          <w:color w:val="auto"/>
          <w:sz w:val="32"/>
          <w:szCs w:val="32"/>
        </w:rPr>
        <w:t xml:space="preserve"> 年</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rPr>
        <w:t>月</w:t>
      </w:r>
      <w:r>
        <w:rPr>
          <w:rFonts w:ascii="仿宋_GB2312" w:hAnsi="宋体" w:eastAsia="仿宋_GB2312"/>
          <w:color w:val="auto"/>
          <w:sz w:val="32"/>
          <w:szCs w:val="32"/>
        </w:rPr>
        <w:t xml:space="preserve"> </w:t>
      </w:r>
      <w:r>
        <w:rPr>
          <w:rFonts w:ascii="仿宋_GB2312" w:hAnsi="宋体" w:eastAsia="仿宋_GB2312"/>
          <w:color w:val="auto"/>
          <w:sz w:val="32"/>
          <w:szCs w:val="32"/>
          <w:u w:val="single"/>
        </w:rPr>
        <w:t xml:space="preserve">    </w:t>
      </w:r>
      <w:r>
        <w:rPr>
          <w:rFonts w:hint="eastAsia" w:ascii="仿宋_GB2312" w:hAnsi="宋体" w:eastAsia="仿宋_GB2312"/>
          <w:color w:val="auto"/>
          <w:sz w:val="32"/>
          <w:szCs w:val="32"/>
        </w:rPr>
        <w:t>日</w:t>
      </w: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keepNext w:val="0"/>
        <w:keepLines w:val="0"/>
        <w:pageBreakBefore w:val="0"/>
        <w:kinsoku/>
        <w:wordWrap/>
        <w:overflowPunct/>
        <w:topLinePunct w:val="0"/>
        <w:bidi w:val="0"/>
        <w:spacing w:line="560" w:lineRule="exact"/>
        <w:textAlignment w:val="auto"/>
        <w:rPr>
          <w:rFonts w:hint="eastAsia" w:ascii="仿宋_GB2312" w:hAnsi="宋体" w:eastAsia="仿宋_GB2312"/>
          <w:bCs/>
          <w:color w:val="auto"/>
          <w:sz w:val="32"/>
          <w:szCs w:val="32"/>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3</w:t>
      </w:r>
    </w:p>
    <w:p>
      <w:pPr>
        <w:keepNext w:val="0"/>
        <w:keepLines w:val="0"/>
        <w:pageBreakBefore w:val="0"/>
        <w:kinsoku/>
        <w:wordWrap/>
        <w:overflowPunct/>
        <w:topLinePunct w:val="0"/>
        <w:autoSpaceDE w:val="0"/>
        <w:autoSpaceDN w:val="0"/>
        <w:bidi w:val="0"/>
        <w:spacing w:line="560" w:lineRule="exact"/>
        <w:ind w:left="299" w:leftChars="-342" w:hanging="1051" w:hangingChars="239"/>
        <w:jc w:val="center"/>
        <w:textAlignment w:val="auto"/>
        <w:rPr>
          <w:rFonts w:ascii="仿宋_GB2312" w:hAnsi="仿宋_GB2312" w:eastAsia="仿宋_GB2312" w:cs="仿宋_GB2312"/>
          <w:color w:val="auto"/>
          <w:sz w:val="32"/>
          <w:szCs w:val="32"/>
        </w:rPr>
      </w:pPr>
      <w:r>
        <w:rPr>
          <w:rFonts w:hint="eastAsia" w:ascii="方正小标宋简体" w:hAnsi="宋体" w:eastAsia="方正小标宋简体"/>
          <w:color w:val="auto"/>
          <w:sz w:val="44"/>
          <w:szCs w:val="44"/>
        </w:rPr>
        <w:t>报价函</w:t>
      </w: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致：深圳市坪山区人民代表大会常务委员会办公室</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经分析研究贵方提供的《坪山区人大代表及人大系统工作人员培训服务招标采购需求》，我方愿意按照以下报价并按邀请文件的要求完成相关工作：</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p>
    <w:tbl>
      <w:tblPr>
        <w:tblStyle w:val="10"/>
        <w:tblW w:w="8220" w:type="dxa"/>
        <w:jc w:val="center"/>
        <w:tblLayout w:type="fixed"/>
        <w:tblCellMar>
          <w:top w:w="0" w:type="dxa"/>
          <w:left w:w="30" w:type="dxa"/>
          <w:bottom w:w="0" w:type="dxa"/>
          <w:right w:w="30" w:type="dxa"/>
        </w:tblCellMar>
      </w:tblPr>
      <w:tblGrid>
        <w:gridCol w:w="5012"/>
        <w:gridCol w:w="3208"/>
      </w:tblGrid>
      <w:tr>
        <w:tblPrEx>
          <w:tblCellMar>
            <w:top w:w="0" w:type="dxa"/>
            <w:left w:w="30" w:type="dxa"/>
            <w:bottom w:w="0" w:type="dxa"/>
            <w:right w:w="30" w:type="dxa"/>
          </w:tblCellMar>
        </w:tblPrEx>
        <w:trPr>
          <w:cantSplit/>
          <w:trHeight w:val="639" w:hRule="atLeast"/>
          <w:jc w:val="center"/>
        </w:trPr>
        <w:tc>
          <w:tcPr>
            <w:tcW w:w="5012" w:type="dxa"/>
            <w:tcBorders>
              <w:top w:val="single" w:color="auto" w:sz="4" w:space="0"/>
              <w:left w:val="single" w:color="auto" w:sz="4" w:space="0"/>
              <w:bottom w:val="nil"/>
              <w:right w:val="single" w:color="auto" w:sz="6"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w:t>
            </w:r>
          </w:p>
        </w:tc>
        <w:tc>
          <w:tcPr>
            <w:tcW w:w="3208"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spacing w:line="56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报价（元）</w:t>
            </w:r>
          </w:p>
        </w:tc>
      </w:tr>
      <w:tr>
        <w:tblPrEx>
          <w:tblCellMar>
            <w:top w:w="0" w:type="dxa"/>
            <w:left w:w="30" w:type="dxa"/>
            <w:bottom w:w="0" w:type="dxa"/>
            <w:right w:w="30" w:type="dxa"/>
          </w:tblCellMar>
        </w:tblPrEx>
        <w:trPr>
          <w:cantSplit/>
          <w:trHeight w:val="995" w:hRule="atLeast"/>
          <w:jc w:val="center"/>
        </w:trPr>
        <w:tc>
          <w:tcPr>
            <w:tcW w:w="5012"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坪山区人大代表及人大系统工作</w:t>
            </w:r>
          </w:p>
          <w:p>
            <w:pPr>
              <w:keepNext w:val="0"/>
              <w:keepLines w:val="0"/>
              <w:pageBreakBefore w:val="0"/>
              <w:kinsoku/>
              <w:wordWrap/>
              <w:overflowPunct/>
              <w:topLinePunct w:val="0"/>
              <w:bidi w:val="0"/>
              <w:spacing w:line="560" w:lineRule="exact"/>
              <w:jc w:val="center"/>
              <w:textAlignment w:val="auto"/>
              <w:rPr>
                <w:rFonts w:hint="eastAsia" w:eastAsia="仿宋_GB2312"/>
                <w:color w:val="auto"/>
                <w:lang w:eastAsia="zh-CN"/>
              </w:rPr>
            </w:pPr>
            <w:r>
              <w:rPr>
                <w:rFonts w:hint="eastAsia" w:ascii="仿宋_GB2312" w:hAnsi="仿宋_GB2312" w:eastAsia="仿宋_GB2312" w:cs="仿宋_GB2312"/>
                <w:color w:val="auto"/>
                <w:sz w:val="32"/>
                <w:szCs w:val="32"/>
              </w:rPr>
              <w:t>人员培训</w:t>
            </w:r>
            <w:r>
              <w:rPr>
                <w:rFonts w:hint="eastAsia" w:ascii="仿宋_GB2312" w:hAnsi="仿宋_GB2312" w:eastAsia="仿宋_GB2312" w:cs="仿宋_GB2312"/>
                <w:color w:val="auto"/>
                <w:sz w:val="32"/>
                <w:szCs w:val="32"/>
                <w:lang w:eastAsia="zh-CN"/>
              </w:rPr>
              <w:t>服务</w:t>
            </w:r>
            <w:bookmarkStart w:id="1" w:name="_GoBack"/>
            <w:bookmarkEnd w:id="1"/>
          </w:p>
        </w:tc>
        <w:tc>
          <w:tcPr>
            <w:tcW w:w="3208"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color w:val="auto"/>
                <w:sz w:val="32"/>
                <w:szCs w:val="32"/>
              </w:rPr>
            </w:pPr>
          </w:p>
        </w:tc>
      </w:tr>
    </w:tbl>
    <w:p>
      <w:pPr>
        <w:keepNext w:val="0"/>
        <w:keepLines w:val="0"/>
        <w:pageBreakBefore w:val="0"/>
        <w:kinsoku/>
        <w:wordWrap/>
        <w:overflowPunct/>
        <w:topLinePunct w:val="0"/>
        <w:bidi w:val="0"/>
        <w:spacing w:line="560" w:lineRule="exact"/>
        <w:textAlignment w:val="auto"/>
        <w:rPr>
          <w:rFonts w:ascii="宋体"/>
          <w:color w:val="auto"/>
          <w:sz w:val="24"/>
          <w:szCs w:val="18"/>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如果贵方接受我方报价，我方保证在规定的期限，按照合同约定完成本项目的相关工作。</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报价人（盖章）：</w:t>
      </w:r>
      <w:r>
        <w:rPr>
          <w:rFonts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报价人代表姓名（签字）：</w:t>
      </w:r>
      <w:r>
        <w:rPr>
          <w:rFonts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期：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年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月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spacing w:after="0" w:line="56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E/>
        <w:autoSpaceDN/>
        <w:bidi w:val="0"/>
        <w:spacing w:after="0" w:line="560" w:lineRule="exact"/>
        <w:ind w:firstLine="640"/>
        <w:jc w:val="center"/>
        <w:textAlignment w:val="auto"/>
        <w:outlineLvl w:val="9"/>
        <w:rPr>
          <w:rFonts w:hint="eastAsia" w:ascii="方正小标宋简体" w:hAnsi="黑体" w:eastAsia="方正小标宋简体" w:cs="黑体"/>
          <w:sz w:val="44"/>
          <w:szCs w:val="44"/>
        </w:rPr>
      </w:pPr>
    </w:p>
    <w:p>
      <w:pPr>
        <w:keepNext w:val="0"/>
        <w:keepLines w:val="0"/>
        <w:pageBreakBefore w:val="0"/>
        <w:kinsoku/>
        <w:wordWrap/>
        <w:overflowPunct/>
        <w:topLinePunct w:val="0"/>
        <w:autoSpaceDE/>
        <w:autoSpaceDN/>
        <w:bidi w:val="0"/>
        <w:spacing w:after="0" w:line="560" w:lineRule="exact"/>
        <w:ind w:firstLine="640"/>
        <w:jc w:val="center"/>
        <w:textAlignment w:val="auto"/>
        <w:outlineLvl w:val="9"/>
        <w:rPr>
          <w:rFonts w:ascii="方正小标宋简体" w:hAnsi="黑体" w:eastAsia="方正小标宋简体" w:cs="黑体"/>
          <w:sz w:val="44"/>
          <w:szCs w:val="44"/>
        </w:rPr>
      </w:pPr>
      <w:r>
        <w:rPr>
          <w:rFonts w:hint="eastAsia" w:ascii="方正小标宋简体" w:hAnsi="黑体" w:eastAsia="方正小标宋简体" w:cs="黑体"/>
          <w:sz w:val="44"/>
          <w:szCs w:val="44"/>
        </w:rPr>
        <w:t>无违法违规情况声明函</w:t>
      </w:r>
    </w:p>
    <w:p>
      <w:pPr>
        <w:keepNext w:val="0"/>
        <w:keepLines w:val="0"/>
        <w:pageBreakBefore w:val="0"/>
        <w:kinsoku/>
        <w:wordWrap/>
        <w:overflowPunct/>
        <w:topLinePunct w:val="0"/>
        <w:autoSpaceDE/>
        <w:autoSpaceDN/>
        <w:bidi w:val="0"/>
        <w:spacing w:after="0" w:line="560" w:lineRule="exact"/>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ascii="仿宋" w:hAnsi="仿宋" w:eastAsia="仿宋" w:cs="仿宋"/>
          <w:kern w:val="2"/>
          <w:sz w:val="32"/>
          <w:szCs w:val="32"/>
          <w:lang w:val="zh-TW"/>
        </w:rPr>
      </w:pPr>
      <w:r>
        <w:rPr>
          <w:rFonts w:hint="eastAsia" w:ascii="仿宋" w:hAnsi="仿宋" w:eastAsia="仿宋" w:cs="仿宋"/>
          <w:kern w:val="2"/>
          <w:sz w:val="32"/>
          <w:szCs w:val="32"/>
          <w:lang w:val="zh-TW" w:eastAsia="zh-CN"/>
        </w:rPr>
        <w:t>深圳市</w:t>
      </w:r>
      <w:r>
        <w:rPr>
          <w:rFonts w:hint="eastAsia" w:ascii="仿宋" w:hAnsi="仿宋" w:eastAsia="仿宋" w:cs="仿宋"/>
          <w:kern w:val="2"/>
          <w:sz w:val="32"/>
          <w:szCs w:val="32"/>
          <w:lang w:val="zh-TW"/>
        </w:rPr>
        <w:t>坪山区人大常委会办公室：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ascii="仿宋" w:hAnsi="仿宋" w:eastAsia="仿宋" w:cs="仿宋"/>
          <w:kern w:val="2"/>
          <w:sz w:val="32"/>
          <w:szCs w:val="32"/>
          <w:lang w:val="zh-TW"/>
        </w:rPr>
      </w:pPr>
      <w:r>
        <w:rPr>
          <w:rFonts w:hint="eastAsia" w:ascii="仿宋" w:hAnsi="仿宋" w:eastAsia="仿宋" w:cs="仿宋"/>
          <w:kern w:val="2"/>
          <w:sz w:val="32"/>
          <w:szCs w:val="32"/>
          <w:lang w:val="zh-TW"/>
        </w:rPr>
        <w:t>本单位近三年以来（截止至本项目</w:t>
      </w:r>
      <w:r>
        <w:rPr>
          <w:rFonts w:hint="eastAsia" w:ascii="仿宋" w:hAnsi="仿宋" w:eastAsia="仿宋" w:cs="仿宋"/>
          <w:kern w:val="2"/>
          <w:sz w:val="32"/>
          <w:szCs w:val="32"/>
          <w:lang w:val="zh-TW" w:eastAsia="zh-CN"/>
        </w:rPr>
        <w:t>投</w:t>
      </w:r>
      <w:r>
        <w:rPr>
          <w:rFonts w:hint="eastAsia" w:ascii="仿宋" w:hAnsi="仿宋" w:eastAsia="仿宋" w:cs="仿宋"/>
          <w:kern w:val="2"/>
          <w:sz w:val="32"/>
          <w:szCs w:val="32"/>
          <w:lang w:val="zh-TW"/>
        </w:rPr>
        <w:t>标日）无重大违法记录，且不处于被禁止参与政府采购活动期限内，且近三年以来（截止至本项目开标日）不存在违反国家、广东省、深圳市、坪山区有关招标投标法律法规（包含工作人员违法违规）的情形。若本单位隐瞒自身违法违规情况进行虚假声明，查实后视为虚假投标响应，作无效投标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ascii="仿宋" w:hAnsi="仿宋" w:eastAsia="仿宋" w:cs="仿宋"/>
          <w:kern w:val="2"/>
          <w:sz w:val="32"/>
          <w:szCs w:val="32"/>
          <w:lang w:val="zh-TW"/>
        </w:rPr>
      </w:pPr>
    </w:p>
    <w:p>
      <w:pPr>
        <w:keepNext w:val="0"/>
        <w:keepLines w:val="0"/>
        <w:pageBreakBefore w:val="0"/>
        <w:widowControl w:val="0"/>
        <w:kinsoku/>
        <w:wordWrap/>
        <w:overflowPunct/>
        <w:topLinePunct w:val="0"/>
        <w:autoSpaceDE/>
        <w:autoSpaceDN/>
        <w:bidi w:val="0"/>
        <w:adjustRightInd/>
        <w:snapToGrid/>
        <w:spacing w:after="0" w:line="560" w:lineRule="exact"/>
        <w:ind w:firstLine="4640" w:firstLineChars="1450"/>
        <w:jc w:val="both"/>
        <w:textAlignment w:val="auto"/>
        <w:outlineLvl w:val="9"/>
        <w:rPr>
          <w:rFonts w:ascii="仿宋" w:hAnsi="仿宋" w:eastAsia="仿宋" w:cs="仿宋"/>
          <w:kern w:val="2"/>
          <w:sz w:val="32"/>
          <w:szCs w:val="32"/>
          <w:lang w:val="zh-TW"/>
        </w:rPr>
      </w:pPr>
      <w:r>
        <w:rPr>
          <w:rFonts w:hint="eastAsia" w:ascii="仿宋" w:hAnsi="仿宋" w:eastAsia="仿宋" w:cs="仿宋"/>
          <w:kern w:val="2"/>
          <w:sz w:val="32"/>
          <w:szCs w:val="32"/>
          <w:lang w:val="zh-TW"/>
        </w:rPr>
        <w:t>声明人（盖章）：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kern w:val="2"/>
          <w:sz w:val="32"/>
          <w:szCs w:val="32"/>
          <w:lang w:val="zh-TW"/>
        </w:rPr>
      </w:pPr>
      <w:r>
        <w:rPr>
          <w:rFonts w:hint="eastAsia" w:ascii="仿宋" w:hAnsi="仿宋" w:eastAsia="仿宋" w:cs="仿宋"/>
          <w:kern w:val="2"/>
          <w:sz w:val="32"/>
          <w:szCs w:val="32"/>
          <w:lang w:val="zh-TW"/>
        </w:rPr>
        <w:t xml:space="preserve">                            年  月  日</w:t>
      </w:r>
    </w:p>
    <w:p>
      <w: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政府采购违法行为风险知悉确认书</w:t>
      </w:r>
    </w:p>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2"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b/>
          <w:bCs/>
          <w:i/>
          <w:iCs/>
          <w:sz w:val="32"/>
          <w:szCs w:val="32"/>
        </w:rPr>
        <w:t>一、本公司已充分知悉“隐瞒真实情况，提供虚假资料”的法定情形，相关情形包括但不限于：</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2"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b/>
          <w:bCs/>
          <w:i/>
          <w:iCs/>
          <w:sz w:val="32"/>
          <w:szCs w:val="32"/>
        </w:rPr>
        <w:t>二、本公司已充分知悉“与其他采购参加人串通投标”的法定情形，相关情形包括但不限于：</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（一）投标供应商之间相互约定给予未中标的供应商利益补偿。</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2"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b/>
          <w:bCs/>
          <w:i/>
          <w:iCs/>
          <w:sz w:val="32"/>
          <w:szCs w:val="32"/>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both"/>
        <w:textAlignment w:val="auto"/>
        <w:outlineLvl w:val="9"/>
        <w:rPr>
          <w:rFonts w:hint="eastAsia" w:ascii="仿宋_GB2312" w:hAnsi="仿宋_GB2312" w:eastAsia="仿宋_GB2312" w:cs="仿宋_GB2312"/>
          <w:b/>
          <w:bCs/>
          <w:i/>
          <w:iCs/>
          <w:sz w:val="32"/>
          <w:szCs w:val="32"/>
        </w:rPr>
      </w:pPr>
      <w:r>
        <w:rPr>
          <w:rFonts w:hint="eastAsia" w:ascii="仿宋_GB2312" w:hAnsi="仿宋_GB2312" w:eastAsia="仿宋_GB2312" w:cs="仿宋_GB2312"/>
          <w:sz w:val="32"/>
          <w:szCs w:val="32"/>
        </w:rPr>
        <w:t>（一）对于从其他主体获取的投标资料，供应商应审慎核查，确保投标资料的真实性。</w:t>
      </w:r>
      <w:r>
        <w:rPr>
          <w:rFonts w:hint="eastAsia" w:ascii="仿宋_GB2312" w:hAnsi="仿宋_GB2312" w:eastAsia="仿宋_GB2312" w:cs="仿宋_GB2312"/>
          <w:b/>
          <w:bCs/>
          <w:i/>
          <w:i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 不同供应商，不得参加同一合同项下的政府采购活动。相关情形 如查实，依法作投标无效处理；涉嫌串通投标等违法行为的，主管部门将依法调查处理。</w:t>
      </w:r>
    </w:p>
    <w:p>
      <w:pPr>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right="0" w:rightChars="0" w:firstLine="64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iCs/>
          <w:sz w:val="32"/>
          <w:szCs w:val="32"/>
        </w:rPr>
        <w:t xml:space="preserve">四、本公司已充分知悉政府采购违法、违规行为的法律后果。 </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_GB2312" w:hAnsi="仿宋_GB2312" w:eastAsia="仿宋_GB2312" w:cs="仿宋_GB2312"/>
          <w:b/>
          <w:bCs/>
          <w:sz w:val="32"/>
          <w:szCs w:val="32"/>
        </w:rPr>
        <w:t>以下文字请投标供应商抄写并确认：</w:t>
      </w:r>
      <w:r>
        <w:rPr>
          <w:rFonts w:hint="eastAsia" w:ascii="仿宋_GB2312" w:hAnsi="仿宋_GB2312" w:eastAsia="仿宋_GB2312" w:cs="仿宋_GB2312"/>
          <w:b w:val="0"/>
          <w:bCs w:val="0"/>
          <w:sz w:val="32"/>
          <w:szCs w:val="32"/>
        </w:rPr>
        <w:t>“本公司已仔细阅读《政府采购违法行为风险知悉确认书》，充分知悉违法行为的法律后果，并承诺将严谨、诚信、依法依规参与政府采购活动”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sz w:val="32"/>
          <w:szCs w:val="32"/>
        </w:rPr>
        <w:t>。</w:t>
      </w:r>
    </w:p>
    <w:p>
      <w:pPr>
        <w:pStyle w:val="2"/>
        <w:kinsoku w:val="0"/>
        <w:overflowPunct w:val="0"/>
        <w:spacing w:beforeLines="0" w:afterLines="0"/>
        <w:jc w:val="both"/>
        <w:rPr>
          <w:rFonts w:hint="eastAsia" w:cs="仿宋_GB2312"/>
          <w:sz w:val="32"/>
          <w:szCs w:val="32"/>
          <w:u w:val="single"/>
          <w:lang w:val="en-US" w:eastAsia="zh-CN"/>
        </w:rPr>
      </w:pPr>
      <w:r>
        <w:rPr>
          <w:rFonts w:hint="eastAsia" w:cs="仿宋_GB2312"/>
          <w:sz w:val="32"/>
          <w:szCs w:val="32"/>
          <w:u w:val="single"/>
          <w:lang w:val="en-US" w:eastAsia="zh-CN"/>
        </w:rPr>
        <w:t xml:space="preserve">                                                       </w:t>
      </w:r>
    </w:p>
    <w:p>
      <w:pPr>
        <w:pStyle w:val="2"/>
        <w:kinsoku w:val="0"/>
        <w:overflowPunct w:val="0"/>
        <w:spacing w:beforeLines="0" w:afterLines="0"/>
        <w:jc w:val="both"/>
        <w:rPr>
          <w:rFonts w:hint="eastAsia" w:cs="仿宋_GB2312"/>
          <w:sz w:val="32"/>
          <w:szCs w:val="32"/>
          <w:u w:val="single"/>
          <w:lang w:val="en-US" w:eastAsia="zh-CN"/>
        </w:rPr>
      </w:pPr>
      <w:r>
        <w:rPr>
          <w:rFonts w:hint="eastAsia" w:cs="仿宋_GB2312"/>
          <w:sz w:val="32"/>
          <w:szCs w:val="32"/>
          <w:u w:val="single"/>
          <w:lang w:val="en-US" w:eastAsia="zh-CN"/>
        </w:rPr>
        <w:t xml:space="preserve">                                                        </w:t>
      </w:r>
    </w:p>
    <w:p>
      <w:pPr>
        <w:pStyle w:val="2"/>
        <w:kinsoku w:val="0"/>
        <w:overflowPunct w:val="0"/>
        <w:spacing w:beforeLines="0" w:afterLines="0"/>
        <w:jc w:val="both"/>
        <w:rPr>
          <w:rFonts w:hint="eastAsia" w:cs="仿宋_GB2312"/>
          <w:sz w:val="32"/>
          <w:szCs w:val="32"/>
          <w:u w:val="single"/>
          <w:lang w:val="en-US" w:eastAsia="zh-CN"/>
        </w:rPr>
      </w:pPr>
      <w:r>
        <w:rPr>
          <w:rFonts w:hint="eastAsia" w:cs="仿宋_GB2312"/>
          <w:sz w:val="32"/>
          <w:szCs w:val="32"/>
          <w:u w:val="single"/>
          <w:lang w:val="en-US" w:eastAsia="zh-CN"/>
        </w:rPr>
        <w:t xml:space="preserve">                                                              </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负责人/投标授权代表签名： </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ind w:firstLine="3520" w:firstLineChars="1100"/>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rPr>
        <w:t>日期：</w:t>
      </w:r>
    </w:p>
    <w:p>
      <w:pPr>
        <w:jc w:val="both"/>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坪山区进一步规范政商交往行为倡议书</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构建亲清政商关系，打造良好营商环境，坪山区制定了《公职人员政商交往“十严禁”》，严明我区公职人员在政商交往中的纪律要求。请参与坪山建设的经营主体及从业人员严格监督，并坚持诚信为本、诚实经营、诚恳建言、坚守底线、固守红线，在与我区公职人员交往中切实做到“十不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一、不得向公职人员赠送礼品礼金、消费卡、高档酒水等财物。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二、不得违规向公职人员提供宴请、旅游、健身、娱乐等安排。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三、不得违规将车辆、住房等借给公职人员使用。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四、不得为公职人员报销应由个人负担的费用。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五、不得让公职人员在企业违规兼职取酬。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六、不得通过打麻将等形式向公职人员输送利益。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七、不得在招投标中与公职人员搞暗箱操作、围标串标。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八、不得违规向公职人员及其亲友借贷款。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九、不得为公职人员亲友违规承揽业务提供便利。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十、不得为利益相关人与公职人员牵线搭桥请托办事。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请您严格遵守。同时交往中发现我区公职人员存在违反“十严禁”问题，请通过网络举报平台、12388举报电话等及时向纪检监察机关反映举报，我们将严格保密、优先处置、严肃查处。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本人已知晓上述告知，并愿意遵照执行（签名）：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CESI楷体-GB2312" w:hAnsi="CESI楷体-GB2312" w:eastAsia="CESI楷体-GB2312" w:cs="CESI楷体-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r>
        <w:rPr>
          <w:rFonts w:hint="eastAsia" w:ascii="CESI楷体-GB2312" w:hAnsi="CESI楷体-GB2312" w:eastAsia="CESI楷体-GB2312" w:cs="CESI楷体-GB2312"/>
          <w:sz w:val="28"/>
          <w:szCs w:val="28"/>
          <w:lang w:val="en-US" w:eastAsia="zh-CN"/>
        </w:rPr>
        <w:t>(本告知书一式两份,一份由被告知人保存,一份由告知人所在单位留存。)</w:t>
      </w: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eastAsia" w:ascii="黑体" w:hAnsi="黑体" w:eastAsia="黑体" w:cs="黑体"/>
          <w:sz w:val="32"/>
          <w:szCs w:val="32"/>
          <w:lang w:eastAsia="zh-CN"/>
        </w:rPr>
      </w:pPr>
    </w:p>
    <w:p>
      <w:pPr>
        <w:jc w:val="both"/>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法人和非法人组织公共信用信息报告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报告请从信息中国官网https://www.creditchina.gov.cn/下载</w:t>
      </w:r>
    </w:p>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cs="仿宋"/>
          <w:kern w:val="2"/>
          <w:sz w:val="32"/>
          <w:szCs w:val="32"/>
        </w:rPr>
      </w:pPr>
    </w:p>
    <w:sectPr>
      <w:pgSz w:w="11906" w:h="16838"/>
      <w:pgMar w:top="2098" w:right="1474" w:bottom="198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EA26F"/>
    <w:multiLevelType w:val="singleLevel"/>
    <w:tmpl w:val="95BEA26F"/>
    <w:lvl w:ilvl="0" w:tentative="0">
      <w:start w:val="1"/>
      <w:numFmt w:val="chineseCounting"/>
      <w:suff w:val="nothing"/>
      <w:lvlText w:val="（%1）"/>
      <w:lvlJc w:val="left"/>
      <w:rPr>
        <w:rFonts w:hint="eastAsia"/>
      </w:rPr>
    </w:lvl>
  </w:abstractNum>
  <w:abstractNum w:abstractNumId="1">
    <w:nsid w:val="FAD79880"/>
    <w:multiLevelType w:val="singleLevel"/>
    <w:tmpl w:val="FAD798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jRmNWUzYzM4ZTBiYzY2M2JjYmNiMDI2M2NiN2MifQ=="/>
  </w:docVars>
  <w:rsids>
    <w:rsidRoot w:val="00153800"/>
    <w:rsid w:val="000A791E"/>
    <w:rsid w:val="000E2B5C"/>
    <w:rsid w:val="001059C6"/>
    <w:rsid w:val="00153800"/>
    <w:rsid w:val="0018406F"/>
    <w:rsid w:val="001963AA"/>
    <w:rsid w:val="001A7D4D"/>
    <w:rsid w:val="002135AB"/>
    <w:rsid w:val="002429B6"/>
    <w:rsid w:val="00272C94"/>
    <w:rsid w:val="002E18FC"/>
    <w:rsid w:val="00346C13"/>
    <w:rsid w:val="003644E9"/>
    <w:rsid w:val="003838C2"/>
    <w:rsid w:val="003B7189"/>
    <w:rsid w:val="003C0901"/>
    <w:rsid w:val="00430F59"/>
    <w:rsid w:val="00461A1B"/>
    <w:rsid w:val="004A6CF6"/>
    <w:rsid w:val="004C0737"/>
    <w:rsid w:val="004D2200"/>
    <w:rsid w:val="004F692E"/>
    <w:rsid w:val="00501619"/>
    <w:rsid w:val="0053745F"/>
    <w:rsid w:val="005530A2"/>
    <w:rsid w:val="00582E6C"/>
    <w:rsid w:val="005960BD"/>
    <w:rsid w:val="005E6EA3"/>
    <w:rsid w:val="00655B0A"/>
    <w:rsid w:val="0067237F"/>
    <w:rsid w:val="006C7F21"/>
    <w:rsid w:val="006F10B3"/>
    <w:rsid w:val="006F7BC3"/>
    <w:rsid w:val="0075617E"/>
    <w:rsid w:val="00757C64"/>
    <w:rsid w:val="00757FE5"/>
    <w:rsid w:val="007A2A1D"/>
    <w:rsid w:val="007B4887"/>
    <w:rsid w:val="007C6FF4"/>
    <w:rsid w:val="00833418"/>
    <w:rsid w:val="008A5E12"/>
    <w:rsid w:val="008B151E"/>
    <w:rsid w:val="008B64CC"/>
    <w:rsid w:val="008C3F66"/>
    <w:rsid w:val="008C772B"/>
    <w:rsid w:val="008D1D30"/>
    <w:rsid w:val="008D50E0"/>
    <w:rsid w:val="008F431B"/>
    <w:rsid w:val="009047FE"/>
    <w:rsid w:val="00924808"/>
    <w:rsid w:val="0094200F"/>
    <w:rsid w:val="00944E53"/>
    <w:rsid w:val="009A2E95"/>
    <w:rsid w:val="009F047B"/>
    <w:rsid w:val="009F24C4"/>
    <w:rsid w:val="00A36C82"/>
    <w:rsid w:val="00A40B17"/>
    <w:rsid w:val="00A52188"/>
    <w:rsid w:val="00A840A3"/>
    <w:rsid w:val="00AA0CCB"/>
    <w:rsid w:val="00AB578F"/>
    <w:rsid w:val="00AF41BE"/>
    <w:rsid w:val="00B82D38"/>
    <w:rsid w:val="00B86696"/>
    <w:rsid w:val="00BB122A"/>
    <w:rsid w:val="00C27A32"/>
    <w:rsid w:val="00C55D48"/>
    <w:rsid w:val="00C90B30"/>
    <w:rsid w:val="00CA0092"/>
    <w:rsid w:val="00CB7810"/>
    <w:rsid w:val="00CF68C6"/>
    <w:rsid w:val="00D15FAF"/>
    <w:rsid w:val="00D4426D"/>
    <w:rsid w:val="00D544E4"/>
    <w:rsid w:val="00D827F8"/>
    <w:rsid w:val="00E04008"/>
    <w:rsid w:val="00E259CD"/>
    <w:rsid w:val="00E636D8"/>
    <w:rsid w:val="00E85558"/>
    <w:rsid w:val="00EC13F2"/>
    <w:rsid w:val="00EC7EB3"/>
    <w:rsid w:val="00F57B63"/>
    <w:rsid w:val="00F81937"/>
    <w:rsid w:val="00F841FD"/>
    <w:rsid w:val="00FA16DB"/>
    <w:rsid w:val="035472B3"/>
    <w:rsid w:val="082F6E9E"/>
    <w:rsid w:val="093267C6"/>
    <w:rsid w:val="1A7BCBBE"/>
    <w:rsid w:val="1FA7767F"/>
    <w:rsid w:val="275F6681"/>
    <w:rsid w:val="2E815916"/>
    <w:rsid w:val="2F8DD39C"/>
    <w:rsid w:val="2FBD813A"/>
    <w:rsid w:val="347F5417"/>
    <w:rsid w:val="35AF0661"/>
    <w:rsid w:val="3D59033F"/>
    <w:rsid w:val="3E1032CA"/>
    <w:rsid w:val="3ED13C6E"/>
    <w:rsid w:val="3FB3B023"/>
    <w:rsid w:val="411079FB"/>
    <w:rsid w:val="49BC1A42"/>
    <w:rsid w:val="5BE701EA"/>
    <w:rsid w:val="5BEFE3A1"/>
    <w:rsid w:val="5FBF8879"/>
    <w:rsid w:val="5FCC5467"/>
    <w:rsid w:val="64AF2FBF"/>
    <w:rsid w:val="65DC11DB"/>
    <w:rsid w:val="67E6FE72"/>
    <w:rsid w:val="6B1F7C72"/>
    <w:rsid w:val="71F8D48F"/>
    <w:rsid w:val="71FF68EE"/>
    <w:rsid w:val="741CFDD6"/>
    <w:rsid w:val="79DB5BFD"/>
    <w:rsid w:val="7B5308EE"/>
    <w:rsid w:val="7B656867"/>
    <w:rsid w:val="7B72ABF1"/>
    <w:rsid w:val="7BED224B"/>
    <w:rsid w:val="7CFD77BB"/>
    <w:rsid w:val="7DCEAF1A"/>
    <w:rsid w:val="7DEBCE4D"/>
    <w:rsid w:val="7EBDD38C"/>
    <w:rsid w:val="7FABD679"/>
    <w:rsid w:val="7FEF3BDD"/>
    <w:rsid w:val="85FDEE18"/>
    <w:rsid w:val="9FF3E502"/>
    <w:rsid w:val="9FFFBD79"/>
    <w:rsid w:val="A18B00AC"/>
    <w:rsid w:val="AEFF4165"/>
    <w:rsid w:val="AF3FD2E8"/>
    <w:rsid w:val="AFBB7E82"/>
    <w:rsid w:val="B4D579D9"/>
    <w:rsid w:val="B6FF6736"/>
    <w:rsid w:val="BDFEC3F2"/>
    <w:rsid w:val="C7FB238B"/>
    <w:rsid w:val="DFDD7795"/>
    <w:rsid w:val="E2FD1F38"/>
    <w:rsid w:val="E5FF9925"/>
    <w:rsid w:val="E99C4DE1"/>
    <w:rsid w:val="EDFFC7F7"/>
    <w:rsid w:val="EFFDD2E3"/>
    <w:rsid w:val="F33ECE7D"/>
    <w:rsid w:val="F7BF8CFB"/>
    <w:rsid w:val="F83F69A5"/>
    <w:rsid w:val="F9F30CE1"/>
    <w:rsid w:val="FA4783B5"/>
    <w:rsid w:val="FAC9DD1A"/>
    <w:rsid w:val="FB556285"/>
    <w:rsid w:val="FBC776E9"/>
    <w:rsid w:val="FD7F7BC7"/>
    <w:rsid w:val="FDDBEBF8"/>
    <w:rsid w:val="FDFDBB88"/>
    <w:rsid w:val="FE6A8759"/>
    <w:rsid w:val="FEA3C0C7"/>
    <w:rsid w:val="FEF3EBD3"/>
    <w:rsid w:val="FFDF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link w:val="14"/>
    <w:qFormat/>
    <w:uiPriority w:val="0"/>
    <w:pPr>
      <w:keepNext/>
      <w:keepLines/>
      <w:widowControl w:val="0"/>
      <w:spacing w:after="0" w:line="560" w:lineRule="exact"/>
      <w:jc w:val="center"/>
      <w:outlineLvl w:val="0"/>
    </w:pPr>
    <w:rPr>
      <w:rFonts w:ascii="仿宋_GB2312" w:hAnsi="Times New Roman" w:eastAsia="黑体" w:cs="Times New Roman"/>
      <w:bCs/>
      <w:color w:val="000000"/>
      <w:kern w:val="44"/>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7"/>
    <w:unhideWhenUsed/>
    <w:qFormat/>
    <w:uiPriority w:val="99"/>
    <w:pPr>
      <w:spacing w:after="0"/>
    </w:pPr>
    <w:rPr>
      <w:sz w:val="18"/>
      <w:szCs w:val="18"/>
    </w:rPr>
  </w:style>
  <w:style w:type="paragraph" w:styleId="5">
    <w:name w:val="footer"/>
    <w:basedOn w:val="1"/>
    <w:link w:val="19"/>
    <w:unhideWhenUsed/>
    <w:qFormat/>
    <w:uiPriority w:val="99"/>
    <w:pPr>
      <w:tabs>
        <w:tab w:val="center" w:pos="4153"/>
        <w:tab w:val="right" w:pos="8306"/>
      </w:tabs>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7">
    <w:name w:val="toc 1"/>
    <w:next w:val="1"/>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character" w:styleId="12">
    <w:name w:val="page number"/>
    <w:basedOn w:val="11"/>
    <w:unhideWhenUsed/>
    <w:qFormat/>
    <w:uiPriority w:val="99"/>
  </w:style>
  <w:style w:type="paragraph" w:customStyle="1" w:styleId="13">
    <w:name w:val="HL正文样式"/>
    <w:basedOn w:val="1"/>
    <w:qFormat/>
    <w:uiPriority w:val="0"/>
    <w:pPr>
      <w:widowControl w:val="0"/>
      <w:adjustRightInd/>
      <w:snapToGrid/>
      <w:spacing w:after="0" w:line="360" w:lineRule="auto"/>
      <w:ind w:firstLine="200" w:firstLineChars="200"/>
      <w:jc w:val="both"/>
    </w:pPr>
    <w:rPr>
      <w:rFonts w:ascii="Arial" w:hAnsi="Arial" w:eastAsia="宋体" w:cs="Times New Roman"/>
      <w:kern w:val="2"/>
      <w:sz w:val="24"/>
    </w:rPr>
  </w:style>
  <w:style w:type="character" w:customStyle="1" w:styleId="14">
    <w:name w:val="标题 1 Char"/>
    <w:basedOn w:val="11"/>
    <w:link w:val="3"/>
    <w:qFormat/>
    <w:uiPriority w:val="0"/>
    <w:rPr>
      <w:rFonts w:ascii="仿宋_GB2312" w:hAnsi="Times New Roman" w:eastAsia="黑体" w:cs="Times New Roman"/>
      <w:bCs/>
      <w:color w:val="000000"/>
      <w:kern w:val="44"/>
      <w:sz w:val="32"/>
      <w:szCs w:val="28"/>
    </w:rPr>
  </w:style>
  <w:style w:type="character" w:customStyle="1" w:styleId="15">
    <w:name w:val="标题 Char"/>
    <w:basedOn w:val="11"/>
    <w:link w:val="9"/>
    <w:qFormat/>
    <w:uiPriority w:val="10"/>
    <w:rPr>
      <w:rFonts w:eastAsia="宋体" w:asciiTheme="majorHAnsi" w:hAnsiTheme="majorHAnsi" w:cstheme="majorBidi"/>
      <w:b/>
      <w:bCs/>
      <w:kern w:val="0"/>
      <w:sz w:val="32"/>
      <w:szCs w:val="32"/>
    </w:rPr>
  </w:style>
  <w:style w:type="paragraph" w:customStyle="1" w:styleId="16">
    <w:name w:val="List Paragraph"/>
    <w:basedOn w:val="1"/>
    <w:qFormat/>
    <w:uiPriority w:val="34"/>
    <w:pPr>
      <w:ind w:firstLine="420" w:firstLineChars="200"/>
    </w:pPr>
  </w:style>
  <w:style w:type="character" w:customStyle="1" w:styleId="17">
    <w:name w:val="批注框文本 Char"/>
    <w:basedOn w:val="11"/>
    <w:link w:val="4"/>
    <w:semiHidden/>
    <w:qFormat/>
    <w:uiPriority w:val="99"/>
    <w:rPr>
      <w:rFonts w:ascii="Tahoma" w:hAnsi="Tahoma" w:eastAsia="微软雅黑"/>
      <w:kern w:val="0"/>
      <w:sz w:val="18"/>
      <w:szCs w:val="18"/>
    </w:rPr>
  </w:style>
  <w:style w:type="character" w:customStyle="1" w:styleId="18">
    <w:name w:val="页眉 Char"/>
    <w:basedOn w:val="11"/>
    <w:link w:val="6"/>
    <w:qFormat/>
    <w:uiPriority w:val="99"/>
    <w:rPr>
      <w:rFonts w:ascii="Tahoma" w:hAnsi="Tahoma" w:eastAsia="微软雅黑"/>
      <w:kern w:val="0"/>
      <w:sz w:val="18"/>
      <w:szCs w:val="18"/>
    </w:rPr>
  </w:style>
  <w:style w:type="character" w:customStyle="1" w:styleId="19">
    <w:name w:val="页脚 Char"/>
    <w:basedOn w:val="11"/>
    <w:link w:val="5"/>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5485</Words>
  <Characters>5640</Characters>
  <Lines>13</Lines>
  <Paragraphs>3</Paragraphs>
  <TotalTime>2</TotalTime>
  <ScaleCrop>false</ScaleCrop>
  <LinksUpToDate>false</LinksUpToDate>
  <CharactersWithSpaces>6145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2019-04-14T00:00:00Z</dcterms:created>
  <dc:creator>李玲海</dc:creator>
  <cp:lastModifiedBy>wangzhi</cp:lastModifiedBy>
  <cp:lastPrinted>2019-04-13T23:27:00Z</cp:lastPrinted>
  <dcterms:modified xsi:type="dcterms:W3CDTF">2024-06-24T17:52:58Z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4627D055ACE54A7C9D4421B577964481_13</vt:lpwstr>
  </property>
</Properties>
</file>